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986" w:rsidRPr="00505280" w:rsidRDefault="004A1986" w:rsidP="004A1986">
      <w:pPr>
        <w:pStyle w:val="Heading2"/>
        <w:rPr>
          <w:lang w:val="mk-MK"/>
        </w:rPr>
      </w:pPr>
      <w:bookmarkStart w:id="0" w:name="_Toc437524104"/>
      <w:bookmarkStart w:id="1" w:name="_Toc448313794"/>
      <w:bookmarkStart w:id="2" w:name="_Toc448313970"/>
      <w:bookmarkStart w:id="3" w:name="_Toc448915586"/>
      <w:r w:rsidRPr="00505280">
        <w:rPr>
          <w:lang w:val="mk-MK"/>
        </w:rPr>
        <w:t>A</w:t>
      </w:r>
      <w:r>
        <w:rPr>
          <w:lang w:val="mk-MK"/>
        </w:rPr>
        <w:t>некс</w:t>
      </w:r>
      <w:r w:rsidRPr="00505280">
        <w:rPr>
          <w:lang w:val="mk-MK"/>
        </w:rPr>
        <w:t xml:space="preserve"> 8: </w:t>
      </w:r>
      <w:r>
        <w:rPr>
          <w:lang w:val="mk-MK"/>
        </w:rPr>
        <w:t>Образец за инспекциски извештај што може да биде јавно достапен</w:t>
      </w:r>
      <w:bookmarkEnd w:id="0"/>
      <w:r>
        <w:rPr>
          <w:lang w:val="mk-MK"/>
        </w:rPr>
        <w:t xml:space="preserve"> и </w:t>
      </w:r>
      <w:r w:rsidRPr="00FB5330">
        <w:rPr>
          <w:lang w:val="mk-MK"/>
        </w:rPr>
        <w:t>упатство за класификација на неусогласеност во ИЕД инсталации (според Директивата за индустриски емисии)</w:t>
      </w:r>
      <w:bookmarkEnd w:id="1"/>
      <w:bookmarkEnd w:id="2"/>
      <w:bookmarkEnd w:id="3"/>
    </w:p>
    <w:p w:rsidR="004A1986" w:rsidRDefault="004A1986" w:rsidP="004A1986">
      <w:pPr>
        <w:pStyle w:val="Heading3"/>
        <w:rPr>
          <w:lang w:val="mk-MK"/>
        </w:rPr>
      </w:pPr>
      <w:bookmarkStart w:id="4" w:name="_Toc448313795"/>
      <w:bookmarkStart w:id="5" w:name="_Toc448313971"/>
      <w:bookmarkStart w:id="6" w:name="_Toc448915587"/>
      <w:r w:rsidRPr="00FB5330">
        <w:rPr>
          <w:lang w:val="mk-MK"/>
        </w:rPr>
        <w:t>Предлог образец</w:t>
      </w:r>
      <w:bookmarkEnd w:id="4"/>
      <w:bookmarkEnd w:id="5"/>
      <w:bookmarkEnd w:id="6"/>
    </w:p>
    <w:p w:rsidR="004A1986" w:rsidRPr="00D3015E" w:rsidRDefault="004A1986" w:rsidP="004A1986">
      <w:pPr>
        <w:rPr>
          <w:b/>
          <w:sz w:val="28"/>
          <w:szCs w:val="28"/>
          <w:lang w:val="mk-MK"/>
        </w:rPr>
      </w:pPr>
      <w:r>
        <w:rPr>
          <w:b/>
          <w:sz w:val="28"/>
          <w:szCs w:val="28"/>
          <w:lang w:val="mk-MK"/>
        </w:rPr>
        <w:t xml:space="preserve">Идентификација на физичкото лице или правниот субјект (сопственикот на инсталацијата)  </w:t>
      </w:r>
    </w:p>
    <w:tbl>
      <w:tblPr>
        <w:tblW w:w="8789"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030"/>
        <w:gridCol w:w="5759"/>
      </w:tblGrid>
      <w:tr w:rsidR="004A1986" w:rsidRPr="00DC23C3" w:rsidTr="00332EB6">
        <w:tc>
          <w:tcPr>
            <w:tcW w:w="3030" w:type="dxa"/>
            <w:tcBorders>
              <w:top w:val="single" w:sz="12" w:space="0" w:color="auto"/>
            </w:tcBorders>
            <w:shd w:val="pct5" w:color="auto" w:fill="FFFFFF"/>
            <w:vAlign w:val="center"/>
          </w:tcPr>
          <w:p w:rsidR="004A1986" w:rsidRPr="00DC23C3" w:rsidRDefault="004A1986" w:rsidP="00332EB6">
            <w:pPr>
              <w:pStyle w:val="Footer"/>
              <w:spacing w:before="60" w:after="60"/>
              <w:rPr>
                <w:bCs/>
              </w:rPr>
            </w:pPr>
            <w:r>
              <w:rPr>
                <w:color w:val="222222"/>
                <w:lang w:val="mk-MK"/>
              </w:rPr>
              <w:t>Име</w:t>
            </w:r>
          </w:p>
        </w:tc>
        <w:tc>
          <w:tcPr>
            <w:tcW w:w="5759" w:type="dxa"/>
            <w:tcBorders>
              <w:top w:val="single" w:sz="12" w:space="0" w:color="auto"/>
            </w:tcBorders>
            <w:vAlign w:val="center"/>
          </w:tcPr>
          <w:p w:rsidR="004A1986" w:rsidRPr="00DC23C3" w:rsidRDefault="004A1986" w:rsidP="00332EB6">
            <w:pPr>
              <w:pStyle w:val="Odstavecseseznamem1"/>
              <w:spacing w:before="60" w:after="60"/>
              <w:ind w:left="57"/>
              <w:rPr>
                <w:rFonts w:ascii="Calibri" w:hAnsi="Calibri"/>
                <w:color w:val="FF0000"/>
                <w:sz w:val="22"/>
                <w:szCs w:val="22"/>
                <w:lang w:val="en-GB"/>
              </w:rPr>
            </w:pPr>
          </w:p>
        </w:tc>
      </w:tr>
      <w:tr w:rsidR="004A1986" w:rsidRPr="00DC23C3" w:rsidTr="00332EB6">
        <w:tc>
          <w:tcPr>
            <w:tcW w:w="3030" w:type="dxa"/>
            <w:shd w:val="pct5" w:color="auto" w:fill="FFFFFF"/>
            <w:vAlign w:val="center"/>
          </w:tcPr>
          <w:p w:rsidR="004A1986" w:rsidRPr="00FC58BD" w:rsidRDefault="004A1986" w:rsidP="00332EB6">
            <w:pPr>
              <w:spacing w:before="60" w:after="60"/>
              <w:rPr>
                <w:bCs/>
                <w:lang w:val="mk-MK"/>
              </w:rPr>
            </w:pPr>
            <w:r>
              <w:rPr>
                <w:bCs/>
                <w:lang w:val="mk-MK"/>
              </w:rPr>
              <w:t>Адреса</w:t>
            </w:r>
          </w:p>
        </w:tc>
        <w:tc>
          <w:tcPr>
            <w:tcW w:w="5759" w:type="dxa"/>
            <w:vAlign w:val="center"/>
          </w:tcPr>
          <w:p w:rsidR="004A1986" w:rsidRPr="00DC23C3" w:rsidRDefault="004A1986" w:rsidP="00332EB6">
            <w:pPr>
              <w:pStyle w:val="Odstavecseseznamem1"/>
              <w:spacing w:before="60" w:after="60"/>
              <w:ind w:left="57"/>
              <w:rPr>
                <w:rFonts w:ascii="Calibri" w:hAnsi="Calibri"/>
                <w:color w:val="FF0000"/>
                <w:sz w:val="22"/>
                <w:szCs w:val="22"/>
                <w:lang w:val="en-GB"/>
              </w:rPr>
            </w:pPr>
          </w:p>
        </w:tc>
      </w:tr>
      <w:tr w:rsidR="004A1986" w:rsidRPr="00DC23C3" w:rsidTr="00332EB6">
        <w:trPr>
          <w:trHeight w:val="591"/>
        </w:trPr>
        <w:tc>
          <w:tcPr>
            <w:tcW w:w="3030" w:type="dxa"/>
            <w:tcBorders>
              <w:bottom w:val="single" w:sz="12" w:space="0" w:color="auto"/>
            </w:tcBorders>
            <w:shd w:val="pct5" w:color="auto" w:fill="FFFFFF"/>
            <w:vAlign w:val="center"/>
          </w:tcPr>
          <w:p w:rsidR="004A1986" w:rsidRPr="00B74FF9" w:rsidRDefault="004A1986" w:rsidP="00332EB6">
            <w:pPr>
              <w:spacing w:before="60" w:after="60"/>
              <w:rPr>
                <w:bCs/>
                <w:lang w:val="mk-MK"/>
              </w:rPr>
            </w:pPr>
            <w:r>
              <w:rPr>
                <w:bCs/>
                <w:lang w:val="mk-MK"/>
              </w:rPr>
              <w:t>Податоци</w:t>
            </w:r>
          </w:p>
        </w:tc>
        <w:tc>
          <w:tcPr>
            <w:tcW w:w="5759" w:type="dxa"/>
            <w:tcBorders>
              <w:bottom w:val="single" w:sz="12" w:space="0" w:color="auto"/>
            </w:tcBorders>
            <w:vAlign w:val="center"/>
          </w:tcPr>
          <w:p w:rsidR="004A1986" w:rsidRPr="00DC23C3" w:rsidRDefault="004A1986" w:rsidP="00332EB6">
            <w:pPr>
              <w:pStyle w:val="Odstavecseseznamem1"/>
              <w:spacing w:before="60" w:after="60"/>
              <w:ind w:left="57"/>
              <w:rPr>
                <w:rFonts w:ascii="Calibri" w:hAnsi="Calibri"/>
                <w:color w:val="FF0000"/>
                <w:sz w:val="22"/>
                <w:szCs w:val="22"/>
                <w:lang w:val="en-GB"/>
              </w:rPr>
            </w:pPr>
          </w:p>
        </w:tc>
      </w:tr>
    </w:tbl>
    <w:p w:rsidR="004A1986" w:rsidRPr="00DC23C3" w:rsidRDefault="004A1986" w:rsidP="004A1986">
      <w:pPr>
        <w:pStyle w:val="Heading2"/>
        <w:spacing w:before="60"/>
        <w:rPr>
          <w:color w:val="FF0000"/>
          <w:sz w:val="22"/>
          <w:szCs w:val="22"/>
        </w:rPr>
      </w:pPr>
    </w:p>
    <w:p w:rsidR="004A1986" w:rsidRPr="00FB4B6A" w:rsidRDefault="004A1986" w:rsidP="004A1986">
      <w:pPr>
        <w:rPr>
          <w:b/>
          <w:sz w:val="28"/>
          <w:szCs w:val="28"/>
        </w:rPr>
      </w:pPr>
      <w:r>
        <w:rPr>
          <w:b/>
          <w:sz w:val="28"/>
          <w:szCs w:val="28"/>
          <w:lang w:val="mk-MK"/>
        </w:rPr>
        <w:t xml:space="preserve">Идентификација на инсталацијата </w:t>
      </w:r>
    </w:p>
    <w:tbl>
      <w:tblPr>
        <w:tblW w:w="8789"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8789"/>
      </w:tblGrid>
      <w:tr w:rsidR="004A1986" w:rsidRPr="00DC23C3" w:rsidTr="00332EB6">
        <w:trPr>
          <w:cantSplit/>
          <w:trHeight w:val="333"/>
        </w:trPr>
        <w:tc>
          <w:tcPr>
            <w:tcW w:w="8789" w:type="dxa"/>
            <w:tcBorders>
              <w:top w:val="single" w:sz="12" w:space="0" w:color="auto"/>
            </w:tcBorders>
            <w:shd w:val="pct5" w:color="auto" w:fill="FFFFFF"/>
            <w:vAlign w:val="center"/>
          </w:tcPr>
          <w:p w:rsidR="004A1986" w:rsidRPr="00DC23C3" w:rsidRDefault="004A1986" w:rsidP="00332EB6">
            <w:pPr>
              <w:pStyle w:val="NormalWeb"/>
              <w:spacing w:before="62" w:beforeAutospacing="0" w:after="62"/>
              <w:rPr>
                <w:rFonts w:ascii="Calibri" w:hAnsi="Calibri" w:cs="Arial"/>
                <w:sz w:val="22"/>
                <w:szCs w:val="22"/>
                <w:lang w:val="en-GB"/>
              </w:rPr>
            </w:pPr>
            <w:r>
              <w:rPr>
                <w:rFonts w:ascii="Calibri" w:hAnsi="Calibri" w:cs="Arial"/>
                <w:sz w:val="22"/>
                <w:lang w:val="mk-MK"/>
              </w:rPr>
              <w:t xml:space="preserve">Име на инсталацијата </w:t>
            </w:r>
          </w:p>
        </w:tc>
      </w:tr>
      <w:tr w:rsidR="004A1986" w:rsidRPr="00DC23C3" w:rsidTr="00332EB6">
        <w:trPr>
          <w:cantSplit/>
        </w:trPr>
        <w:tc>
          <w:tcPr>
            <w:tcW w:w="8789" w:type="dxa"/>
            <w:vAlign w:val="center"/>
          </w:tcPr>
          <w:p w:rsidR="004A1986" w:rsidRPr="00DC23C3" w:rsidRDefault="004A1986" w:rsidP="00332EB6">
            <w:pPr>
              <w:pStyle w:val="Footer"/>
              <w:spacing w:before="60" w:after="60"/>
              <w:ind w:left="57"/>
              <w:rPr>
                <w:b/>
                <w:color w:val="FF0000"/>
              </w:rPr>
            </w:pPr>
          </w:p>
        </w:tc>
      </w:tr>
      <w:tr w:rsidR="004A1986" w:rsidRPr="00DC23C3" w:rsidTr="00332EB6">
        <w:trPr>
          <w:cantSplit/>
        </w:trPr>
        <w:tc>
          <w:tcPr>
            <w:tcW w:w="8789" w:type="dxa"/>
            <w:shd w:val="pct5" w:color="auto" w:fill="FFFFFF"/>
            <w:vAlign w:val="center"/>
          </w:tcPr>
          <w:p w:rsidR="004A1986" w:rsidRPr="00B74FF9" w:rsidRDefault="004A1986" w:rsidP="00332EB6">
            <w:pPr>
              <w:pStyle w:val="NormalWeb"/>
              <w:spacing w:before="62" w:beforeAutospacing="0" w:after="62"/>
              <w:rPr>
                <w:rFonts w:ascii="Calibri" w:hAnsi="Calibri" w:cs="Arial"/>
                <w:sz w:val="22"/>
                <w:szCs w:val="22"/>
                <w:lang w:val="mk-MK"/>
              </w:rPr>
            </w:pPr>
            <w:r>
              <w:rPr>
                <w:rFonts w:ascii="Calibri" w:hAnsi="Calibri" w:cs="Arial"/>
                <w:sz w:val="22"/>
                <w:lang w:val="mk-MK"/>
              </w:rPr>
              <w:t>Адреса</w:t>
            </w:r>
          </w:p>
        </w:tc>
      </w:tr>
      <w:tr w:rsidR="004A1986" w:rsidRPr="00DC23C3" w:rsidTr="00332EB6">
        <w:trPr>
          <w:cantSplit/>
        </w:trPr>
        <w:tc>
          <w:tcPr>
            <w:tcW w:w="8789" w:type="dxa"/>
            <w:vAlign w:val="center"/>
          </w:tcPr>
          <w:p w:rsidR="004A1986" w:rsidRPr="00DC23C3" w:rsidRDefault="004A1986" w:rsidP="00332EB6">
            <w:pPr>
              <w:pStyle w:val="Footer"/>
              <w:spacing w:before="60" w:after="60"/>
              <w:ind w:left="57"/>
            </w:pPr>
          </w:p>
        </w:tc>
      </w:tr>
      <w:tr w:rsidR="004A1986" w:rsidRPr="00DC23C3" w:rsidTr="00332EB6">
        <w:trPr>
          <w:cantSplit/>
        </w:trPr>
        <w:tc>
          <w:tcPr>
            <w:tcW w:w="8789" w:type="dxa"/>
            <w:shd w:val="pct5" w:color="auto" w:fill="FFFFFF"/>
            <w:vAlign w:val="center"/>
          </w:tcPr>
          <w:p w:rsidR="004A1986" w:rsidRPr="00DC23C3" w:rsidRDefault="004A1986" w:rsidP="00332EB6">
            <w:pPr>
              <w:pStyle w:val="NormalWeb"/>
              <w:spacing w:before="62" w:beforeAutospacing="0" w:after="62"/>
              <w:rPr>
                <w:rFonts w:ascii="Calibri" w:hAnsi="Calibri" w:cs="Arial"/>
                <w:sz w:val="22"/>
                <w:szCs w:val="22"/>
                <w:lang w:val="en-GB"/>
              </w:rPr>
            </w:pPr>
            <w:r>
              <w:rPr>
                <w:rFonts w:ascii="Calibri" w:hAnsi="Calibri" w:cs="Arial"/>
                <w:sz w:val="22"/>
                <w:lang w:val="mk-MK"/>
              </w:rPr>
              <w:t xml:space="preserve">ИСКЗ категорија </w:t>
            </w:r>
          </w:p>
        </w:tc>
      </w:tr>
      <w:tr w:rsidR="004A1986" w:rsidRPr="00DC23C3" w:rsidTr="00332EB6">
        <w:trPr>
          <w:cantSplit/>
        </w:trPr>
        <w:tc>
          <w:tcPr>
            <w:tcW w:w="8789" w:type="dxa"/>
            <w:vAlign w:val="center"/>
          </w:tcPr>
          <w:p w:rsidR="004A1986" w:rsidRPr="00DC23C3" w:rsidRDefault="004A1986" w:rsidP="00332EB6">
            <w:pPr>
              <w:pStyle w:val="Footer"/>
              <w:spacing w:before="60" w:after="60"/>
              <w:ind w:left="57"/>
            </w:pPr>
          </w:p>
        </w:tc>
      </w:tr>
      <w:tr w:rsidR="004A1986" w:rsidRPr="00DC23C3" w:rsidTr="00332EB6">
        <w:trPr>
          <w:cantSplit/>
          <w:trHeight w:val="333"/>
        </w:trPr>
        <w:tc>
          <w:tcPr>
            <w:tcW w:w="8789" w:type="dxa"/>
            <w:shd w:val="pct5" w:color="auto" w:fill="FFFFFF"/>
            <w:vAlign w:val="center"/>
          </w:tcPr>
          <w:p w:rsidR="004A1986" w:rsidRPr="00DC23C3" w:rsidRDefault="004A1986" w:rsidP="00332EB6">
            <w:pPr>
              <w:pStyle w:val="NormalWeb"/>
              <w:spacing w:before="62" w:beforeAutospacing="0" w:after="62"/>
              <w:rPr>
                <w:rFonts w:ascii="Calibri" w:hAnsi="Calibri" w:cs="Arial"/>
                <w:sz w:val="22"/>
                <w:szCs w:val="22"/>
                <w:lang w:val="en-GB"/>
              </w:rPr>
            </w:pPr>
            <w:r>
              <w:rPr>
                <w:rFonts w:ascii="Calibri" w:hAnsi="Calibri" w:cs="Arial"/>
                <w:sz w:val="22"/>
                <w:lang w:val="mk-MK"/>
              </w:rPr>
              <w:t xml:space="preserve">Податоци за информацискиот систем на ИСКЗ </w:t>
            </w:r>
          </w:p>
        </w:tc>
      </w:tr>
      <w:tr w:rsidR="004A1986" w:rsidRPr="00DC23C3" w:rsidTr="00332EB6">
        <w:trPr>
          <w:cantSplit/>
        </w:trPr>
        <w:tc>
          <w:tcPr>
            <w:tcW w:w="8789" w:type="dxa"/>
            <w:tcBorders>
              <w:bottom w:val="single" w:sz="12" w:space="0" w:color="auto"/>
            </w:tcBorders>
            <w:vAlign w:val="center"/>
          </w:tcPr>
          <w:p w:rsidR="004A1986" w:rsidRPr="00DC23C3" w:rsidRDefault="004A1986" w:rsidP="00332EB6">
            <w:pPr>
              <w:pStyle w:val="Footer"/>
              <w:spacing w:before="60" w:after="60"/>
              <w:rPr>
                <w:color w:val="FF0000"/>
              </w:rPr>
            </w:pPr>
          </w:p>
        </w:tc>
      </w:tr>
    </w:tbl>
    <w:p w:rsidR="004A1986" w:rsidRDefault="004A1986" w:rsidP="004A1986">
      <w:pPr>
        <w:rPr>
          <w:b/>
          <w:sz w:val="28"/>
          <w:szCs w:val="28"/>
          <w:lang w:val="mk-MK"/>
        </w:rPr>
      </w:pPr>
    </w:p>
    <w:p w:rsidR="004A1986" w:rsidRPr="00FB5330" w:rsidRDefault="004A1986" w:rsidP="004A1986">
      <w:pPr>
        <w:rPr>
          <w:b/>
          <w:sz w:val="28"/>
          <w:szCs w:val="28"/>
          <w:lang w:val="mk-MK"/>
        </w:rPr>
      </w:pPr>
      <w:r>
        <w:rPr>
          <w:b/>
          <w:sz w:val="28"/>
          <w:szCs w:val="28"/>
          <w:lang w:val="mk-MK"/>
        </w:rPr>
        <w:t xml:space="preserve">Цел на контролата и период на контрола </w:t>
      </w:r>
    </w:p>
    <w:tbl>
      <w:tblPr>
        <w:tblW w:w="8789"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8789"/>
      </w:tblGrid>
      <w:tr w:rsidR="004A1986" w:rsidRPr="004A1986" w:rsidTr="00332EB6">
        <w:trPr>
          <w:cantSplit/>
          <w:trHeight w:val="333"/>
        </w:trPr>
        <w:tc>
          <w:tcPr>
            <w:tcW w:w="8789" w:type="dxa"/>
            <w:tcBorders>
              <w:top w:val="single" w:sz="12" w:space="0" w:color="auto"/>
            </w:tcBorders>
            <w:shd w:val="pct5" w:color="auto" w:fill="FFFFFF"/>
            <w:vAlign w:val="center"/>
          </w:tcPr>
          <w:p w:rsidR="004A1986" w:rsidRPr="00930A09" w:rsidRDefault="004A1986" w:rsidP="00332EB6">
            <w:pPr>
              <w:pStyle w:val="NormalWeb"/>
              <w:spacing w:before="62" w:beforeAutospacing="0" w:after="62"/>
              <w:rPr>
                <w:rFonts w:ascii="Calibri" w:hAnsi="Calibri" w:cs="Arial"/>
                <w:sz w:val="22"/>
                <w:szCs w:val="22"/>
                <w:lang w:val="mk-MK"/>
              </w:rPr>
            </w:pPr>
            <w:r>
              <w:rPr>
                <w:rFonts w:ascii="Calibri" w:hAnsi="Calibri" w:cs="Arial"/>
                <w:color w:val="222222"/>
                <w:sz w:val="22"/>
                <w:szCs w:val="22"/>
                <w:lang w:val="mk-MK"/>
              </w:rPr>
              <w:t xml:space="preserve">Опис на целта на контролата </w:t>
            </w:r>
          </w:p>
        </w:tc>
      </w:tr>
      <w:tr w:rsidR="004A1986" w:rsidRPr="004A1986" w:rsidTr="00332EB6">
        <w:trPr>
          <w:cantSplit/>
        </w:trPr>
        <w:tc>
          <w:tcPr>
            <w:tcW w:w="8789" w:type="dxa"/>
            <w:vAlign w:val="center"/>
          </w:tcPr>
          <w:p w:rsidR="004A1986" w:rsidRPr="00512DCE" w:rsidRDefault="004A1986" w:rsidP="00332EB6">
            <w:pPr>
              <w:pStyle w:val="Footer"/>
              <w:spacing w:before="60" w:after="60"/>
              <w:rPr>
                <w:i/>
                <w:color w:val="222222"/>
                <w:lang w:val="mk-MK"/>
              </w:rPr>
            </w:pPr>
            <w:r>
              <w:rPr>
                <w:i/>
                <w:color w:val="222222"/>
                <w:lang w:val="mk-MK"/>
              </w:rPr>
              <w:t xml:space="preserve">Пр. мониторинг на усогласеноста со условите во интегрираната дозвола или жалби за миризба </w:t>
            </w:r>
          </w:p>
        </w:tc>
      </w:tr>
      <w:tr w:rsidR="004A1986" w:rsidRPr="00DC23C3" w:rsidTr="00332EB6">
        <w:trPr>
          <w:cantSplit/>
        </w:trPr>
        <w:tc>
          <w:tcPr>
            <w:tcW w:w="8789" w:type="dxa"/>
            <w:shd w:val="clear" w:color="auto" w:fill="F2F2F2"/>
            <w:vAlign w:val="center"/>
          </w:tcPr>
          <w:p w:rsidR="004A1986" w:rsidRPr="00DC23C3" w:rsidRDefault="004A1986" w:rsidP="00332EB6">
            <w:pPr>
              <w:pStyle w:val="Footer"/>
              <w:spacing w:before="60" w:after="60"/>
            </w:pPr>
            <w:r>
              <w:rPr>
                <w:lang w:val="mk-MK"/>
              </w:rPr>
              <w:t xml:space="preserve">Најавена или ненајавена инспекција </w:t>
            </w:r>
          </w:p>
        </w:tc>
      </w:tr>
      <w:tr w:rsidR="004A1986" w:rsidRPr="00DC23C3" w:rsidTr="00332EB6">
        <w:trPr>
          <w:cantSplit/>
        </w:trPr>
        <w:tc>
          <w:tcPr>
            <w:tcW w:w="8789" w:type="dxa"/>
            <w:tcBorders>
              <w:bottom w:val="single" w:sz="12" w:space="0" w:color="auto"/>
            </w:tcBorders>
            <w:vAlign w:val="center"/>
          </w:tcPr>
          <w:p w:rsidR="004A1986" w:rsidRPr="00DC23C3" w:rsidRDefault="004A1986" w:rsidP="00332EB6">
            <w:pPr>
              <w:pStyle w:val="Footer"/>
              <w:spacing w:before="60" w:after="60"/>
              <w:ind w:left="57"/>
              <w:rPr>
                <w:color w:val="FF0000"/>
              </w:rPr>
            </w:pPr>
          </w:p>
        </w:tc>
      </w:tr>
      <w:tr w:rsidR="004A1986" w:rsidRPr="00DC23C3" w:rsidTr="00332EB6">
        <w:trPr>
          <w:cantSplit/>
        </w:trPr>
        <w:tc>
          <w:tcPr>
            <w:tcW w:w="8789" w:type="dxa"/>
            <w:shd w:val="clear" w:color="auto" w:fill="F2F2F2"/>
            <w:vAlign w:val="center"/>
          </w:tcPr>
          <w:p w:rsidR="004A1986" w:rsidRPr="00DC23C3" w:rsidRDefault="004A1986" w:rsidP="00332EB6">
            <w:pPr>
              <w:pStyle w:val="Footer"/>
              <w:spacing w:before="60" w:after="60"/>
            </w:pPr>
            <w:r>
              <w:rPr>
                <w:color w:val="222222"/>
                <w:lang w:val="mk-MK"/>
              </w:rPr>
              <w:t xml:space="preserve">Контролиран период </w:t>
            </w:r>
          </w:p>
        </w:tc>
      </w:tr>
      <w:tr w:rsidR="004A1986" w:rsidRPr="00DC23C3" w:rsidTr="00332EB6">
        <w:trPr>
          <w:cantSplit/>
        </w:trPr>
        <w:tc>
          <w:tcPr>
            <w:tcW w:w="8789" w:type="dxa"/>
            <w:tcBorders>
              <w:bottom w:val="single" w:sz="12" w:space="0" w:color="auto"/>
            </w:tcBorders>
            <w:vAlign w:val="center"/>
          </w:tcPr>
          <w:p w:rsidR="004A1986" w:rsidRPr="006161B8" w:rsidRDefault="004A1986" w:rsidP="00332EB6">
            <w:pPr>
              <w:pStyle w:val="Footer"/>
              <w:spacing w:before="60" w:after="60"/>
              <w:rPr>
                <w:i/>
                <w:color w:val="222222"/>
                <w:lang w:val="mk-MK"/>
              </w:rPr>
            </w:pPr>
            <w:r>
              <w:rPr>
                <w:i/>
                <w:color w:val="222222"/>
                <w:lang w:val="mk-MK"/>
              </w:rPr>
              <w:t xml:space="preserve">Време помеѓу овој вид на инспекција и претходната инспекција (пр. време помеѓу две интегрирани инспекции или време помеѓу инспекции извршени поради жалби) </w:t>
            </w:r>
          </w:p>
        </w:tc>
      </w:tr>
    </w:tbl>
    <w:p w:rsidR="004A1986" w:rsidRDefault="004A1986" w:rsidP="004A1986">
      <w:pPr>
        <w:rPr>
          <w:b/>
          <w:sz w:val="28"/>
          <w:szCs w:val="28"/>
        </w:rPr>
      </w:pPr>
    </w:p>
    <w:p w:rsidR="004A1986" w:rsidRPr="00094BE6" w:rsidRDefault="004A1986" w:rsidP="004A1986">
      <w:pPr>
        <w:rPr>
          <w:b/>
          <w:sz w:val="28"/>
          <w:szCs w:val="28"/>
          <w:lang w:val="mk-MK"/>
        </w:rPr>
      </w:pPr>
      <w:r>
        <w:rPr>
          <w:b/>
          <w:sz w:val="28"/>
          <w:szCs w:val="28"/>
          <w:lang w:val="mk-MK"/>
        </w:rPr>
        <w:t>Датум на увид</w:t>
      </w:r>
    </w:p>
    <w:tbl>
      <w:tblPr>
        <w:tblW w:w="8789"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678"/>
        <w:gridCol w:w="4111"/>
      </w:tblGrid>
      <w:tr w:rsidR="004A1986" w:rsidRPr="00DC23C3" w:rsidTr="00332EB6">
        <w:trPr>
          <w:cantSplit/>
        </w:trPr>
        <w:tc>
          <w:tcPr>
            <w:tcW w:w="4678" w:type="dxa"/>
            <w:tcBorders>
              <w:top w:val="single" w:sz="12" w:space="0" w:color="auto"/>
            </w:tcBorders>
            <w:shd w:val="clear" w:color="auto" w:fill="F2F2F2"/>
            <w:vAlign w:val="center"/>
          </w:tcPr>
          <w:p w:rsidR="004A1986" w:rsidRPr="00DC23C3" w:rsidRDefault="004A1986" w:rsidP="00332EB6">
            <w:pPr>
              <w:pStyle w:val="Footer"/>
              <w:spacing w:before="60" w:after="60"/>
            </w:pPr>
            <w:r>
              <w:rPr>
                <w:lang w:val="mk-MK"/>
              </w:rPr>
              <w:t xml:space="preserve">Почеток на увидот </w:t>
            </w:r>
          </w:p>
        </w:tc>
        <w:tc>
          <w:tcPr>
            <w:tcW w:w="4111" w:type="dxa"/>
            <w:tcBorders>
              <w:top w:val="single" w:sz="12" w:space="0" w:color="auto"/>
            </w:tcBorders>
            <w:shd w:val="clear" w:color="auto" w:fill="FFFFFF"/>
            <w:vAlign w:val="center"/>
          </w:tcPr>
          <w:p w:rsidR="004A1986" w:rsidRPr="00DC23C3" w:rsidRDefault="004A1986" w:rsidP="00332EB6">
            <w:pPr>
              <w:pStyle w:val="Footer"/>
              <w:spacing w:before="60" w:after="60"/>
              <w:ind w:left="57"/>
            </w:pPr>
          </w:p>
        </w:tc>
      </w:tr>
      <w:tr w:rsidR="004A1986" w:rsidRPr="00DC23C3" w:rsidTr="00332EB6">
        <w:trPr>
          <w:cantSplit/>
        </w:trPr>
        <w:tc>
          <w:tcPr>
            <w:tcW w:w="4678" w:type="dxa"/>
            <w:tcBorders>
              <w:bottom w:val="single" w:sz="12" w:space="0" w:color="auto"/>
            </w:tcBorders>
            <w:shd w:val="pct5" w:color="auto" w:fill="auto"/>
            <w:vAlign w:val="center"/>
          </w:tcPr>
          <w:p w:rsidR="004A1986" w:rsidRPr="00DC23C3" w:rsidRDefault="004A1986" w:rsidP="00332EB6">
            <w:pPr>
              <w:pStyle w:val="Footer"/>
              <w:spacing w:before="60" w:after="60"/>
            </w:pPr>
            <w:r>
              <w:rPr>
                <w:lang w:val="mk-MK"/>
              </w:rPr>
              <w:t xml:space="preserve">Завршеток на увидот </w:t>
            </w:r>
          </w:p>
        </w:tc>
        <w:tc>
          <w:tcPr>
            <w:tcW w:w="4111" w:type="dxa"/>
            <w:tcBorders>
              <w:bottom w:val="single" w:sz="12" w:space="0" w:color="auto"/>
            </w:tcBorders>
            <w:vAlign w:val="center"/>
          </w:tcPr>
          <w:p w:rsidR="004A1986" w:rsidRPr="00DC23C3" w:rsidRDefault="004A1986" w:rsidP="00332EB6">
            <w:pPr>
              <w:pStyle w:val="Footer"/>
              <w:spacing w:before="60" w:after="60"/>
              <w:ind w:left="57"/>
            </w:pPr>
          </w:p>
        </w:tc>
      </w:tr>
    </w:tbl>
    <w:p w:rsidR="004A1986" w:rsidRDefault="004A1986" w:rsidP="004A1986">
      <w:pPr>
        <w:rPr>
          <w:b/>
          <w:sz w:val="28"/>
          <w:szCs w:val="28"/>
        </w:rPr>
      </w:pPr>
    </w:p>
    <w:p w:rsidR="004A1986" w:rsidRPr="000E6945" w:rsidRDefault="004A1986" w:rsidP="004A1986">
      <w:pPr>
        <w:rPr>
          <w:b/>
          <w:sz w:val="28"/>
          <w:szCs w:val="28"/>
        </w:rPr>
      </w:pPr>
      <w:r>
        <w:rPr>
          <w:b/>
          <w:sz w:val="28"/>
          <w:szCs w:val="28"/>
          <w:lang w:val="mk-MK"/>
        </w:rPr>
        <w:t>Неусогласеност</w:t>
      </w:r>
      <w:r w:rsidRPr="00D742FF">
        <w:rPr>
          <w:rFonts w:ascii="Helvetica" w:eastAsia="Times New Roman" w:hAnsi="Helvetica" w:cs="Helvetica"/>
          <w:b/>
          <w:bCs/>
          <w:vanish/>
          <w:color w:val="444444"/>
          <w:kern w:val="36"/>
          <w:sz w:val="20"/>
          <w:szCs w:val="20"/>
          <w:lang w:val="en-US" w:eastAsia="nl-NL"/>
        </w:rPr>
        <w:t>Mängel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874"/>
        <w:gridCol w:w="3015"/>
      </w:tblGrid>
      <w:tr w:rsidR="004A1986" w:rsidRPr="00C115F1" w:rsidTr="00332EB6">
        <w:tc>
          <w:tcPr>
            <w:tcW w:w="2802" w:type="dxa"/>
            <w:shd w:val="clear" w:color="auto" w:fill="92D050"/>
          </w:tcPr>
          <w:p w:rsidR="004A1986" w:rsidRPr="00C51E29" w:rsidRDefault="004A1986" w:rsidP="00332EB6">
            <w:r w:rsidRPr="00C115F1">
              <w:rPr>
                <w:noProof/>
                <w:lang w:val="es-ES" w:eastAsia="es-ES"/>
              </w:rPr>
              <mc:AlternateContent>
                <mc:Choice Requires="wps">
                  <w:drawing>
                    <wp:anchor distT="0" distB="0" distL="114300" distR="114300" simplePos="0" relativeHeight="251660288" behindDoc="0" locked="0" layoutInCell="1" allowOverlap="1" wp14:anchorId="7A93F178" wp14:editId="18A38594">
                      <wp:simplePos x="0" y="0"/>
                      <wp:positionH relativeFrom="column">
                        <wp:posOffset>494665</wp:posOffset>
                      </wp:positionH>
                      <wp:positionV relativeFrom="paragraph">
                        <wp:posOffset>300355</wp:posOffset>
                      </wp:positionV>
                      <wp:extent cx="234315" cy="196215"/>
                      <wp:effectExtent l="13335" t="13335" r="9525" b="9525"/>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9621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F7057" id="Rectangle 441" o:spid="_x0000_s1026" style="position:absolute;margin-left:38.95pt;margin-top:23.65pt;width:18.4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" fillcolor="#92d050"/>
                  </w:pict>
                </mc:Fallback>
              </mc:AlternateContent>
            </w:r>
            <w:r>
              <w:rPr>
                <w:lang w:val="mk-MK"/>
              </w:rPr>
              <w:t xml:space="preserve">Нема неусогласености </w:t>
            </w:r>
          </w:p>
          <w:p w:rsidR="004A1986" w:rsidRDefault="004A1986" w:rsidP="00332EB6"/>
          <w:p w:rsidR="004A1986" w:rsidRPr="00C51E29" w:rsidRDefault="004A1986" w:rsidP="00332EB6"/>
        </w:tc>
        <w:tc>
          <w:tcPr>
            <w:tcW w:w="3118" w:type="dxa"/>
            <w:shd w:val="clear" w:color="auto" w:fill="FFC000"/>
          </w:tcPr>
          <w:p w:rsidR="004A1986" w:rsidRPr="00C51E29" w:rsidRDefault="004A1986" w:rsidP="00332EB6">
            <w:r w:rsidRPr="00C115F1">
              <w:rPr>
                <w:noProof/>
                <w:lang w:val="es-ES" w:eastAsia="es-ES"/>
              </w:rPr>
              <mc:AlternateContent>
                <mc:Choice Requires="wps">
                  <w:drawing>
                    <wp:anchor distT="0" distB="0" distL="114300" distR="114300" simplePos="0" relativeHeight="251659264" behindDoc="0" locked="0" layoutInCell="1" allowOverlap="1" wp14:anchorId="54483157" wp14:editId="7099C7BF">
                      <wp:simplePos x="0" y="0"/>
                      <wp:positionH relativeFrom="column">
                        <wp:posOffset>668020</wp:posOffset>
                      </wp:positionH>
                      <wp:positionV relativeFrom="paragraph">
                        <wp:posOffset>300355</wp:posOffset>
                      </wp:positionV>
                      <wp:extent cx="234315" cy="196215"/>
                      <wp:effectExtent l="13335" t="13335" r="9525" b="9525"/>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9621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4EABB" id="Rectangle 440" o:spid="_x0000_s1026" style="position:absolute;margin-left:52.6pt;margin-top:23.65pt;width:18.4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" fillcolor="#ffc000"/>
                  </w:pict>
                </mc:Fallback>
              </mc:AlternateContent>
            </w:r>
            <w:r>
              <w:rPr>
                <w:lang w:val="mk-MK"/>
              </w:rPr>
              <w:t>Мали неусогласености</w:t>
            </w:r>
            <w:r>
              <w:rPr>
                <w:rStyle w:val="FootnoteReference"/>
              </w:rPr>
              <w:footnoteReference w:id="1"/>
            </w:r>
          </w:p>
          <w:p w:rsidR="004A1986" w:rsidRDefault="004A1986" w:rsidP="00332EB6"/>
          <w:p w:rsidR="004A1986" w:rsidRPr="00C51E29" w:rsidRDefault="004A1986" w:rsidP="00332EB6">
            <w:r>
              <w:rPr>
                <w:lang w:val="mk-MK"/>
              </w:rPr>
              <w:t>Број:</w:t>
            </w:r>
            <w:r w:rsidRPr="00C51E29">
              <w:t xml:space="preserve"> </w:t>
            </w:r>
          </w:p>
        </w:tc>
        <w:tc>
          <w:tcPr>
            <w:tcW w:w="3292" w:type="dxa"/>
            <w:shd w:val="clear" w:color="auto" w:fill="FF0000"/>
          </w:tcPr>
          <w:p w:rsidR="004A1986" w:rsidRPr="00C51E29" w:rsidRDefault="004A1986" w:rsidP="00332EB6">
            <w:r w:rsidRPr="00C115F1">
              <w:rPr>
                <w:noProof/>
                <w:lang w:val="es-ES" w:eastAsia="es-ES"/>
              </w:rPr>
              <mc:AlternateContent>
                <mc:Choice Requires="wps">
                  <w:drawing>
                    <wp:anchor distT="0" distB="0" distL="114300" distR="114300" simplePos="0" relativeHeight="251661312" behindDoc="0" locked="0" layoutInCell="1" allowOverlap="1" wp14:anchorId="5690CEDD" wp14:editId="0C5CE475">
                      <wp:simplePos x="0" y="0"/>
                      <wp:positionH relativeFrom="column">
                        <wp:posOffset>783590</wp:posOffset>
                      </wp:positionH>
                      <wp:positionV relativeFrom="paragraph">
                        <wp:posOffset>300355</wp:posOffset>
                      </wp:positionV>
                      <wp:extent cx="234315" cy="196215"/>
                      <wp:effectExtent l="13335" t="13335" r="9525" b="952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962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E4C3F" id="Rectangle 145" o:spid="_x0000_s1026" style="position:absolute;margin-left:61.7pt;margin-top:23.65pt;width:18.4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" fillcolor="red"/>
                  </w:pict>
                </mc:Fallback>
              </mc:AlternateContent>
            </w:r>
            <w:r>
              <w:rPr>
                <w:lang w:val="mk-MK"/>
              </w:rPr>
              <w:t>Сериозни неусогласености</w:t>
            </w:r>
            <w:r>
              <w:rPr>
                <w:rStyle w:val="FootnoteReference"/>
              </w:rPr>
              <w:footnoteReference w:id="2"/>
            </w:r>
          </w:p>
          <w:p w:rsidR="004A1986" w:rsidRDefault="004A1986" w:rsidP="00332EB6"/>
          <w:p w:rsidR="004A1986" w:rsidRPr="00C51E29" w:rsidRDefault="004A1986" w:rsidP="00332EB6">
            <w:r>
              <w:rPr>
                <w:lang w:val="mk-MK"/>
              </w:rPr>
              <w:t>Број:</w:t>
            </w:r>
          </w:p>
        </w:tc>
      </w:tr>
    </w:tbl>
    <w:p w:rsidR="004A1986" w:rsidRPr="008A5503" w:rsidRDefault="004A1986" w:rsidP="004A1986">
      <w:pPr>
        <w:rPr>
          <w:b/>
          <w:sz w:val="28"/>
          <w:szCs w:val="28"/>
          <w:lang w:val="mk-MK"/>
        </w:rPr>
      </w:pPr>
      <w:r>
        <w:rPr>
          <w:b/>
          <w:sz w:val="28"/>
          <w:szCs w:val="28"/>
          <w:lang w:val="mk-MK"/>
        </w:rPr>
        <w:t>Санкции</w:t>
      </w:r>
    </w:p>
    <w:tbl>
      <w:tblPr>
        <w:tblW w:w="8789"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8789"/>
      </w:tblGrid>
      <w:tr w:rsidR="004A1986" w:rsidRPr="004A1986" w:rsidTr="00332EB6">
        <w:trPr>
          <w:cantSplit/>
          <w:trHeight w:val="333"/>
        </w:trPr>
        <w:tc>
          <w:tcPr>
            <w:tcW w:w="8789" w:type="dxa"/>
            <w:tcBorders>
              <w:top w:val="single" w:sz="12" w:space="0" w:color="auto"/>
            </w:tcBorders>
            <w:shd w:val="pct5" w:color="auto" w:fill="FFFFFF"/>
            <w:vAlign w:val="center"/>
          </w:tcPr>
          <w:p w:rsidR="004A1986" w:rsidRPr="00AD2224" w:rsidRDefault="004A1986" w:rsidP="00332EB6">
            <w:pPr>
              <w:pStyle w:val="NormalWeb"/>
              <w:spacing w:before="62" w:beforeAutospacing="0" w:after="62"/>
              <w:rPr>
                <w:rFonts w:ascii="Calibri" w:hAnsi="Calibri" w:cs="Arial"/>
                <w:sz w:val="22"/>
                <w:szCs w:val="22"/>
                <w:lang w:val="mk-MK"/>
              </w:rPr>
            </w:pPr>
            <w:r>
              <w:rPr>
                <w:rFonts w:ascii="Calibri" w:hAnsi="Calibri" w:cs="Arial"/>
                <w:sz w:val="22"/>
                <w:lang w:val="mk-MK"/>
              </w:rPr>
              <w:t xml:space="preserve">Опис на санкциите кои произлегуваат од инспекцијата </w:t>
            </w:r>
          </w:p>
        </w:tc>
      </w:tr>
      <w:tr w:rsidR="004A1986" w:rsidRPr="00DC23C3" w:rsidTr="00332EB6">
        <w:trPr>
          <w:cantSplit/>
        </w:trPr>
        <w:tc>
          <w:tcPr>
            <w:tcW w:w="8789" w:type="dxa"/>
            <w:tcBorders>
              <w:bottom w:val="single" w:sz="12" w:space="0" w:color="auto"/>
            </w:tcBorders>
            <w:vAlign w:val="center"/>
          </w:tcPr>
          <w:p w:rsidR="004A1986" w:rsidRPr="00D3015E" w:rsidRDefault="004A1986" w:rsidP="00332EB6">
            <w:pPr>
              <w:rPr>
                <w:rFonts w:cs="Calibri"/>
                <w:i/>
                <w:lang w:val="mk-MK"/>
              </w:rPr>
            </w:pPr>
            <w:r>
              <w:rPr>
                <w:rFonts w:cs="Calibri"/>
                <w:i/>
                <w:lang w:val="mk-MK"/>
              </w:rPr>
              <w:t xml:space="preserve">Постојат 3 категории на прекршоци кои се изрекуваат:  </w:t>
            </w:r>
          </w:p>
          <w:p w:rsidR="004A1986" w:rsidRPr="0064472F" w:rsidRDefault="004A1986" w:rsidP="004A1986">
            <w:pPr>
              <w:numPr>
                <w:ilvl w:val="0"/>
                <w:numId w:val="1"/>
              </w:numPr>
              <w:spacing w:after="160" w:line="259" w:lineRule="auto"/>
              <w:contextualSpacing/>
              <w:jc w:val="left"/>
              <w:rPr>
                <w:i/>
                <w:lang w:val="en-US"/>
              </w:rPr>
            </w:pPr>
            <w:r>
              <w:rPr>
                <w:i/>
                <w:lang w:val="mk-MK"/>
              </w:rPr>
              <w:t>Прва категорија,</w:t>
            </w:r>
          </w:p>
          <w:p w:rsidR="004A1986" w:rsidRPr="0064472F" w:rsidRDefault="004A1986" w:rsidP="004A1986">
            <w:pPr>
              <w:numPr>
                <w:ilvl w:val="0"/>
                <w:numId w:val="1"/>
              </w:numPr>
              <w:spacing w:after="160" w:line="259" w:lineRule="auto"/>
              <w:contextualSpacing/>
              <w:jc w:val="left"/>
              <w:rPr>
                <w:i/>
                <w:lang w:val="en-US"/>
              </w:rPr>
            </w:pPr>
            <w:r>
              <w:rPr>
                <w:i/>
                <w:lang w:val="mk-MK"/>
              </w:rPr>
              <w:t xml:space="preserve">Втора категорија, </w:t>
            </w:r>
          </w:p>
          <w:p w:rsidR="004A1986" w:rsidRPr="0064472F" w:rsidRDefault="004A1986" w:rsidP="004A1986">
            <w:pPr>
              <w:numPr>
                <w:ilvl w:val="0"/>
                <w:numId w:val="1"/>
              </w:numPr>
              <w:spacing w:after="160" w:line="259" w:lineRule="auto"/>
              <w:contextualSpacing/>
              <w:jc w:val="left"/>
              <w:rPr>
                <w:i/>
                <w:lang w:val="en-US"/>
              </w:rPr>
            </w:pPr>
            <w:r>
              <w:rPr>
                <w:i/>
                <w:lang w:val="mk-MK"/>
              </w:rPr>
              <w:t>Трета категорија,</w:t>
            </w:r>
          </w:p>
          <w:p w:rsidR="004A1986" w:rsidRPr="00DC23C3" w:rsidRDefault="004A1986" w:rsidP="00332EB6">
            <w:pPr>
              <w:rPr>
                <w:i/>
                <w:color w:val="FF0000"/>
              </w:rPr>
            </w:pPr>
            <w:r>
              <w:rPr>
                <w:rFonts w:cs="Calibri"/>
                <w:i/>
                <w:lang w:val="mk-MK"/>
              </w:rPr>
              <w:t>Доколку нема неусоглсеност какви санкции ќе се користат како резултат на оваа инспекција?</w:t>
            </w:r>
          </w:p>
        </w:tc>
      </w:tr>
    </w:tbl>
    <w:p w:rsidR="004A1986" w:rsidRPr="00FB4B6A" w:rsidRDefault="004A1986" w:rsidP="004A1986">
      <w:pPr>
        <w:rPr>
          <w:b/>
          <w:sz w:val="28"/>
          <w:szCs w:val="28"/>
        </w:rPr>
      </w:pPr>
      <w:r>
        <w:rPr>
          <w:b/>
          <w:sz w:val="28"/>
          <w:szCs w:val="28"/>
          <w:lang w:val="mk-MK"/>
        </w:rPr>
        <w:t xml:space="preserve">Натамошни дејствија </w:t>
      </w:r>
    </w:p>
    <w:tbl>
      <w:tblPr>
        <w:tblW w:w="8789"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8789"/>
      </w:tblGrid>
      <w:tr w:rsidR="004A1986" w:rsidRPr="00DC23C3" w:rsidTr="00332EB6">
        <w:trPr>
          <w:cantSplit/>
          <w:trHeight w:val="333"/>
        </w:trPr>
        <w:tc>
          <w:tcPr>
            <w:tcW w:w="8789" w:type="dxa"/>
            <w:tcBorders>
              <w:top w:val="single" w:sz="12" w:space="0" w:color="auto"/>
            </w:tcBorders>
            <w:shd w:val="pct5" w:color="auto" w:fill="FFFFFF"/>
            <w:vAlign w:val="center"/>
          </w:tcPr>
          <w:p w:rsidR="004A1986" w:rsidRPr="00DC23C3" w:rsidRDefault="004A1986" w:rsidP="00332EB6">
            <w:pPr>
              <w:pStyle w:val="NormalWeb"/>
              <w:spacing w:before="62" w:beforeAutospacing="0" w:after="62"/>
              <w:rPr>
                <w:rFonts w:ascii="Calibri" w:hAnsi="Calibri" w:cs="Arial"/>
                <w:sz w:val="22"/>
                <w:szCs w:val="22"/>
                <w:lang w:val="en-GB"/>
              </w:rPr>
            </w:pPr>
            <w:r>
              <w:rPr>
                <w:rFonts w:ascii="Calibri" w:hAnsi="Calibri" w:cs="Arial"/>
                <w:sz w:val="22"/>
                <w:lang w:val="mk-MK"/>
              </w:rPr>
              <w:t xml:space="preserve">Опис на натамошните дејствија кои призлегуваат од инспекцијата  </w:t>
            </w:r>
          </w:p>
        </w:tc>
      </w:tr>
      <w:tr w:rsidR="004A1986" w:rsidRPr="00DC23C3" w:rsidTr="00332EB6">
        <w:trPr>
          <w:cantSplit/>
        </w:trPr>
        <w:tc>
          <w:tcPr>
            <w:tcW w:w="8789" w:type="dxa"/>
            <w:tcBorders>
              <w:bottom w:val="single" w:sz="12" w:space="0" w:color="auto"/>
            </w:tcBorders>
            <w:vAlign w:val="center"/>
          </w:tcPr>
          <w:p w:rsidR="004A1986" w:rsidRPr="00614E0F" w:rsidRDefault="004A1986" w:rsidP="00332EB6">
            <w:pPr>
              <w:rPr>
                <w:rFonts w:cs="Calibri"/>
                <w:i/>
                <w:lang w:val="mk-MK"/>
              </w:rPr>
            </w:pPr>
            <w:r>
              <w:rPr>
                <w:rFonts w:cs="Calibri"/>
                <w:i/>
                <w:lang w:val="mk-MK"/>
              </w:rPr>
              <w:t>(пр. едукација, време на надминување на неусогласеноста, следна инспекција)</w:t>
            </w:r>
          </w:p>
        </w:tc>
      </w:tr>
    </w:tbl>
    <w:p w:rsidR="004A1986" w:rsidRDefault="004A1986" w:rsidP="004A1986"/>
    <w:p w:rsidR="004A1986" w:rsidRDefault="004A1986" w:rsidP="004A1986">
      <w:pPr>
        <w:pStyle w:val="Heading3"/>
        <w:rPr>
          <w:lang w:eastAsia="ar-SA"/>
        </w:rPr>
      </w:pPr>
      <w:bookmarkStart w:id="7" w:name="_Toc448313796"/>
      <w:bookmarkStart w:id="8" w:name="_Toc448313972"/>
      <w:bookmarkStart w:id="9" w:name="_Toc448915588"/>
      <w:r w:rsidRPr="00D3015E">
        <w:rPr>
          <w:lang w:eastAsia="ar-SA"/>
        </w:rPr>
        <w:t>Упатство за класификација на неусогласеност во ИЕД инсталации (според Директивата за индустриски емисии)</w:t>
      </w:r>
      <w:bookmarkEnd w:id="7"/>
      <w:bookmarkEnd w:id="8"/>
      <w:bookmarkEnd w:id="9"/>
    </w:p>
    <w:p w:rsidR="004A1986" w:rsidRPr="00D3015E" w:rsidRDefault="004A1986" w:rsidP="004A1986">
      <w:pPr>
        <w:rPr>
          <w:b/>
          <w:lang w:val="mk-MK" w:eastAsia="ar-SA"/>
        </w:rPr>
      </w:pPr>
      <w:r w:rsidRPr="00D3015E">
        <w:rPr>
          <w:b/>
          <w:lang w:val="mk-MK" w:eastAsia="ar-SA"/>
        </w:rPr>
        <w:t>Имајте предвид:</w:t>
      </w:r>
    </w:p>
    <w:p w:rsidR="004A1986" w:rsidRPr="00C54F87" w:rsidRDefault="004A1986" w:rsidP="004A1986">
      <w:pPr>
        <w:spacing w:line="300" w:lineRule="atLeast"/>
        <w:rPr>
          <w:b/>
          <w:lang w:val="mk-MK" w:eastAsia="ar-SA"/>
        </w:rPr>
      </w:pPr>
      <w:r w:rsidRPr="00C54F87">
        <w:rPr>
          <w:b/>
          <w:lang w:val="mk-MK" w:eastAsia="ar-SA"/>
        </w:rPr>
        <w:lastRenderedPageBreak/>
        <w:t>Секој</w:t>
      </w:r>
      <w:r>
        <w:rPr>
          <w:b/>
          <w:lang w:val="mk-MK" w:eastAsia="ar-SA"/>
        </w:rPr>
        <w:t>а</w:t>
      </w:r>
      <w:r w:rsidRPr="00C54F87">
        <w:rPr>
          <w:b/>
          <w:lang w:val="mk-MK" w:eastAsia="ar-SA"/>
        </w:rPr>
        <w:t xml:space="preserve"> класификација на неусогласеност бара решение на случај-по-случај</w:t>
      </w:r>
      <w:r>
        <w:rPr>
          <w:b/>
          <w:lang w:val="mk-MK" w:eastAsia="ar-SA"/>
        </w:rPr>
        <w:t xml:space="preserve">. </w:t>
      </w:r>
    </w:p>
    <w:p w:rsidR="004A1986" w:rsidRPr="006F566C" w:rsidRDefault="004A1986" w:rsidP="004A1986">
      <w:pPr>
        <w:spacing w:line="300" w:lineRule="atLeast"/>
        <w:rPr>
          <w:b/>
          <w:lang w:val="mk-MK" w:eastAsia="ar-SA"/>
        </w:rPr>
      </w:pPr>
      <w:r>
        <w:rPr>
          <w:b/>
          <w:lang w:val="mk-MK" w:eastAsia="ar-SA"/>
        </w:rPr>
        <w:t xml:space="preserve">Класификацијата треба да ги избегне разликите со другите прописи. Пр. не смее да се рангира како мала неусогласеност доколку инсталацијата започне со работа без дозвола што е кривично дело.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A1986" w:rsidRPr="00C54F87" w:rsidTr="00332EB6">
        <w:trPr>
          <w:tblHeader/>
        </w:trPr>
        <w:tc>
          <w:tcPr>
            <w:tcW w:w="5000" w:type="pct"/>
            <w:shd w:val="clear" w:color="auto" w:fill="FFC000"/>
          </w:tcPr>
          <w:p w:rsidR="004A1986" w:rsidRPr="00C54F87" w:rsidRDefault="004A1986" w:rsidP="00332EB6">
            <w:pPr>
              <w:rPr>
                <w:b/>
                <w:bCs/>
                <w:sz w:val="32"/>
                <w:szCs w:val="32"/>
              </w:rPr>
            </w:pPr>
            <w:r>
              <w:rPr>
                <w:b/>
                <w:bCs/>
                <w:sz w:val="32"/>
                <w:szCs w:val="32"/>
                <w:lang w:val="mk-MK"/>
              </w:rPr>
              <w:t>Мали случаи на неусогласеност</w:t>
            </w:r>
            <w:r w:rsidRPr="00C54F87">
              <w:rPr>
                <w:rStyle w:val="FootnoteReference"/>
                <w:b/>
                <w:bCs/>
                <w:sz w:val="32"/>
                <w:szCs w:val="32"/>
              </w:rPr>
              <w:footnoteReference w:id="3"/>
            </w:r>
          </w:p>
        </w:tc>
      </w:tr>
    </w:tbl>
    <w:p w:rsidR="004A1986" w:rsidRPr="00C13E06" w:rsidRDefault="004A1986" w:rsidP="004A1986">
      <w:pPr>
        <w:rPr>
          <w:b/>
          <w:lang w:val="mk-MK"/>
        </w:rPr>
      </w:pPr>
      <w:r>
        <w:rPr>
          <w:b/>
          <w:lang w:val="mk-MK"/>
        </w:rPr>
        <w:t>Опис</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 xml:space="preserve">Неусогласености кои имаат низок ризик за предизвикување на штета на животната средина, па во разумен временски период мора да се преземат соодветни мерки за отстранување на неусогласеностите; </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Само мали прекршувања на условите од дозволата/ законски обрврски/ обврски на операторот без последици врз мерките на заштита од загадувањето;</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 xml:space="preserve">Сеуште се исполнети граничните вредности на емисија, стандардите за квалитет на животната средина и други ограничувања. </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Сеуште е исполнета целта на дозволата (заштита на здравјето на луѓето и животната средина од загадување и преземање на мерки на претпазливост против загадувањето);</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Надлежните органи му укажуваат на операторот без временско ограничување;</w:t>
      </w:r>
    </w:p>
    <w:p w:rsidR="004A1986" w:rsidRPr="00C13E06" w:rsidRDefault="004A1986" w:rsidP="004A1986">
      <w:pPr>
        <w:spacing w:before="240"/>
        <w:rPr>
          <w:b/>
          <w:lang w:val="mk-MK"/>
        </w:rPr>
      </w:pPr>
      <w:r>
        <w:rPr>
          <w:b/>
          <w:lang w:val="mk-MK"/>
        </w:rPr>
        <w:t>Случаи</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 xml:space="preserve">Дневникот на дејствија не се води уредно или се води со задоцнување </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Недостасуваат инструкции за работа </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Цевководите не се означени соодветно </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Документацијата за  определени работи за одржување не е директно достапна </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Недостасува или нема соодветни записи, ако е потребно, како што е: податоци за потрошувачка на суровини </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Недостасуваат податоци за видови отпад или количини на отпад, план за управување со растворувачи, итн.</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Недостасува или е несоодветен планот за управување со отпад </w:t>
      </w:r>
    </w:p>
    <w:p w:rsidR="004A1986" w:rsidRPr="004F628B"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Не се соодветни безбедносните мерки во местата за складирање или за ракување со опасни материи по животната средина (пр. басен за чување) </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Некомплетни извештаи за мерење на емисии или самото мерење не е согласно најновите технологии</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Недостасуваат некои податоци од континуирани мерења</w:t>
      </w:r>
      <w:r w:rsidRPr="00C54F87">
        <w:rPr>
          <w:rStyle w:val="FootnoteReference"/>
          <w:sz w:val="21"/>
          <w:szCs w:val="21"/>
        </w:rPr>
        <w:footnoteReference w:id="4"/>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Надминат е рокот за периодични извештаи</w:t>
      </w:r>
    </w:p>
    <w:p w:rsidR="004A1986" w:rsidRPr="00D3015E" w:rsidRDefault="004A1986" w:rsidP="004A1986">
      <w:pPr>
        <w:numPr>
          <w:ilvl w:val="0"/>
          <w:numId w:val="2"/>
        </w:numPr>
        <w:tabs>
          <w:tab w:val="clear" w:pos="720"/>
          <w:tab w:val="num" w:pos="426"/>
        </w:tabs>
        <w:spacing w:after="0" w:line="240" w:lineRule="auto"/>
        <w:ind w:left="426" w:hanging="284"/>
        <w:rPr>
          <w:b/>
          <w:bCs/>
        </w:rPr>
      </w:pPr>
      <w:r w:rsidRPr="00D3015E">
        <w:rPr>
          <w:sz w:val="21"/>
          <w:szCs w:val="21"/>
          <w:lang w:val="mk-MK"/>
        </w:rPr>
        <w:t xml:space="preserve">Не се исполнети останатите обврски согласно законската регулатива за животна средина за известување или верификација </w:t>
      </w:r>
    </w:p>
    <w:p w:rsidR="004A1986" w:rsidRPr="00D3015E" w:rsidRDefault="004A1986" w:rsidP="004A1986">
      <w:pPr>
        <w:spacing w:after="0" w:line="240" w:lineRule="auto"/>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A1986" w:rsidRPr="00C54F87" w:rsidTr="00332EB6">
        <w:trPr>
          <w:tblHeader/>
        </w:trPr>
        <w:tc>
          <w:tcPr>
            <w:tcW w:w="5000" w:type="pct"/>
            <w:shd w:val="clear" w:color="auto" w:fill="FF0000"/>
          </w:tcPr>
          <w:p w:rsidR="004A1986" w:rsidRPr="00C54F87" w:rsidRDefault="004A1986" w:rsidP="00332EB6">
            <w:pPr>
              <w:rPr>
                <w:b/>
                <w:bCs/>
                <w:sz w:val="32"/>
                <w:szCs w:val="32"/>
              </w:rPr>
            </w:pPr>
            <w:r>
              <w:rPr>
                <w:b/>
                <w:bCs/>
                <w:sz w:val="32"/>
                <w:szCs w:val="32"/>
                <w:lang w:val="mk-MK"/>
              </w:rPr>
              <w:t xml:space="preserve">Сериозни случаи на неусогласеност </w:t>
            </w:r>
          </w:p>
        </w:tc>
      </w:tr>
    </w:tbl>
    <w:p w:rsidR="004A1986" w:rsidRDefault="004A1986" w:rsidP="004A1986">
      <w:pPr>
        <w:rPr>
          <w:b/>
          <w:lang w:val="mk-MK"/>
        </w:rPr>
      </w:pPr>
    </w:p>
    <w:p w:rsidR="004A1986" w:rsidRPr="00420E4A" w:rsidRDefault="004A1986" w:rsidP="004A1986">
      <w:pPr>
        <w:rPr>
          <w:b/>
          <w:lang w:val="mk-MK"/>
        </w:rPr>
      </w:pPr>
      <w:r>
        <w:rPr>
          <w:b/>
          <w:lang w:val="mk-MK"/>
        </w:rPr>
        <w:t>Опис</w:t>
      </w:r>
    </w:p>
    <w:p w:rsidR="004A1986" w:rsidRPr="001B657A" w:rsidRDefault="004A1986" w:rsidP="004A1986">
      <w:pPr>
        <w:pStyle w:val="ListParagraph"/>
        <w:numPr>
          <w:ilvl w:val="0"/>
          <w:numId w:val="2"/>
        </w:numPr>
        <w:tabs>
          <w:tab w:val="clear" w:pos="720"/>
          <w:tab w:val="num" w:pos="426"/>
          <w:tab w:val="left" w:pos="1416"/>
          <w:tab w:val="left" w:pos="2124"/>
          <w:tab w:val="left" w:pos="2832"/>
          <w:tab w:val="left" w:pos="3540"/>
        </w:tabs>
        <w:spacing w:after="0" w:line="240" w:lineRule="auto"/>
        <w:ind w:left="426" w:hanging="284"/>
        <w:contextualSpacing w:val="0"/>
        <w:jc w:val="both"/>
        <w:rPr>
          <w:sz w:val="21"/>
          <w:szCs w:val="21"/>
          <w:lang w:val="mk-MK"/>
        </w:rPr>
      </w:pPr>
      <w:r>
        <w:rPr>
          <w:sz w:val="21"/>
          <w:szCs w:val="21"/>
          <w:lang w:val="mk-MK"/>
        </w:rPr>
        <w:lastRenderedPageBreak/>
        <w:t xml:space="preserve">Повреда на некој стандард за квалитет на животната средина или неусогласеност кој може да има потенцијално максимално влијание </w:t>
      </w:r>
    </w:p>
    <w:p w:rsidR="004A1986" w:rsidRPr="001B657A" w:rsidRDefault="004A1986" w:rsidP="004A1986">
      <w:pPr>
        <w:pStyle w:val="ListParagraph"/>
        <w:numPr>
          <w:ilvl w:val="0"/>
          <w:numId w:val="2"/>
        </w:numPr>
        <w:tabs>
          <w:tab w:val="clear" w:pos="720"/>
          <w:tab w:val="num" w:pos="426"/>
          <w:tab w:val="left" w:pos="1416"/>
          <w:tab w:val="left" w:pos="2124"/>
          <w:tab w:val="left" w:pos="2832"/>
          <w:tab w:val="left" w:pos="3540"/>
        </w:tabs>
        <w:spacing w:after="0" w:line="240" w:lineRule="auto"/>
        <w:ind w:left="426" w:hanging="284"/>
        <w:contextualSpacing w:val="0"/>
        <w:jc w:val="both"/>
        <w:rPr>
          <w:sz w:val="21"/>
          <w:szCs w:val="21"/>
          <w:lang w:val="mk-MK"/>
        </w:rPr>
      </w:pPr>
      <w:r>
        <w:rPr>
          <w:sz w:val="21"/>
          <w:szCs w:val="21"/>
          <w:lang w:val="mk-MK"/>
        </w:rPr>
        <w:t>Целта на дозволата (заштита на човековото здравје и на животната средина од загадување и преземање мерки на претпазливост против загадувањето) е доведена во прашање или воопшто не е исполнета</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Прекршувања на условите од дозволата/ прекршувања на законски обрврски/ обврски на операторот кои може да имаат последици врз  заштита од загадувањето, или кои отстапуваат од заштитата против загадувањето</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 xml:space="preserve">Неусогласености кои може да предизвикаат ризик </w:t>
      </w:r>
      <w:r w:rsidRPr="001B657A">
        <w:rPr>
          <w:sz w:val="21"/>
          <w:szCs w:val="21"/>
          <w:lang w:val="mk-MK"/>
        </w:rPr>
        <w:t>з</w:t>
      </w:r>
      <w:r>
        <w:rPr>
          <w:sz w:val="21"/>
          <w:szCs w:val="21"/>
          <w:lang w:val="mk-MK"/>
        </w:rPr>
        <w:t>а оштетување на животната средина или штетата веќе се случила, така што во разумен рок мора да се преземат соодветни мерки за елиминирање на неуслогласеностите</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Неусогласености кои предизвикуваат сериозен ризик на значително оштетување на животната средина или штетата веќе е направена, така што обично мора веднаш да се преземат соодветни мерки за отстранување на неусогласеностите</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 xml:space="preserve">Прекршување на обврската на операторот за информирање на надлежните органи за неусогласеност или промени во работата во законски пропишан временски период </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Не е јасно дали граничните вредности на емисија се исполнети</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 xml:space="preserve">Не се исполнети граничните вредности на емисија, стандардите за квалитет на животната средина или други ограничувања </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Неколку или повторени слични релевантни неуслогласености</w:t>
      </w:r>
      <w:r w:rsidRPr="001B657A">
        <w:rPr>
          <w:sz w:val="21"/>
          <w:szCs w:val="21"/>
          <w:lang w:val="mk-MK"/>
        </w:rPr>
        <w:t xml:space="preserve"> </w:t>
      </w:r>
    </w:p>
    <w:p w:rsidR="004A1986" w:rsidRPr="001B657A" w:rsidRDefault="004A1986" w:rsidP="004A1986">
      <w:pPr>
        <w:numPr>
          <w:ilvl w:val="0"/>
          <w:numId w:val="2"/>
        </w:numPr>
        <w:tabs>
          <w:tab w:val="clear" w:pos="720"/>
          <w:tab w:val="num" w:pos="426"/>
        </w:tabs>
        <w:spacing w:after="0" w:line="240" w:lineRule="auto"/>
        <w:ind w:left="426" w:hanging="284"/>
        <w:rPr>
          <w:sz w:val="21"/>
          <w:szCs w:val="21"/>
          <w:lang w:val="mk-MK"/>
        </w:rPr>
      </w:pPr>
      <w:r>
        <w:rPr>
          <w:sz w:val="21"/>
          <w:szCs w:val="21"/>
          <w:lang w:val="mk-MK"/>
        </w:rPr>
        <w:t>Неусогласеност која е многу важна во однос на жалбите и перцепција од страна на јавноста</w:t>
      </w:r>
    </w:p>
    <w:p w:rsidR="004A1986" w:rsidRPr="001B657A" w:rsidRDefault="004A1986" w:rsidP="004A1986">
      <w:pPr>
        <w:spacing w:after="0" w:line="240" w:lineRule="auto"/>
        <w:ind w:left="426"/>
        <w:rPr>
          <w:sz w:val="21"/>
          <w:szCs w:val="21"/>
          <w:lang w:val="mk-MK"/>
        </w:rPr>
      </w:pPr>
    </w:p>
    <w:p w:rsidR="004A1986" w:rsidRPr="00D60F99" w:rsidRDefault="004A1986" w:rsidP="004A1986">
      <w:pPr>
        <w:spacing w:before="240"/>
        <w:rPr>
          <w:b/>
          <w:lang w:val="en-US"/>
        </w:rPr>
      </w:pPr>
      <w:r>
        <w:rPr>
          <w:b/>
          <w:lang w:val="mk-MK"/>
        </w:rPr>
        <w:t>Сличаи</w:t>
      </w:r>
    </w:p>
    <w:p w:rsidR="004A1986" w:rsidRPr="00C54F87" w:rsidRDefault="004A1986" w:rsidP="004A1986">
      <w:pPr>
        <w:numPr>
          <w:ilvl w:val="0"/>
          <w:numId w:val="2"/>
        </w:numPr>
        <w:tabs>
          <w:tab w:val="clear" w:pos="720"/>
          <w:tab w:val="num" w:pos="426"/>
        </w:tabs>
        <w:spacing w:after="0" w:line="300" w:lineRule="atLeast"/>
        <w:ind w:left="426" w:hanging="284"/>
        <w:rPr>
          <w:sz w:val="21"/>
          <w:szCs w:val="21"/>
          <w:lang w:eastAsia="ar-SA"/>
        </w:rPr>
      </w:pPr>
      <w:r>
        <w:rPr>
          <w:sz w:val="21"/>
          <w:szCs w:val="21"/>
          <w:lang w:val="mk-MK" w:eastAsia="ar-SA"/>
        </w:rPr>
        <w:t>Присуство на „опасност“(</w:t>
      </w:r>
      <w:r w:rsidRPr="00C54F87">
        <w:rPr>
          <w:sz w:val="21"/>
          <w:szCs w:val="21"/>
          <w:lang w:eastAsia="ar-SA"/>
        </w:rPr>
        <w:t>"imminent danger"</w:t>
      </w:r>
      <w:r>
        <w:rPr>
          <w:sz w:val="21"/>
          <w:szCs w:val="21"/>
          <w:lang w:val="mk-MK" w:eastAsia="ar-SA"/>
        </w:rPr>
        <w:t xml:space="preserve">) по животната средина </w:t>
      </w:r>
    </w:p>
    <w:p w:rsidR="004A1986" w:rsidRPr="00C54F87" w:rsidRDefault="004A1986" w:rsidP="004A1986">
      <w:pPr>
        <w:numPr>
          <w:ilvl w:val="0"/>
          <w:numId w:val="2"/>
        </w:numPr>
        <w:tabs>
          <w:tab w:val="clear" w:pos="720"/>
          <w:tab w:val="num" w:pos="426"/>
        </w:tabs>
        <w:spacing w:after="0" w:line="300" w:lineRule="atLeast"/>
        <w:ind w:left="426" w:hanging="284"/>
        <w:rPr>
          <w:sz w:val="21"/>
          <w:szCs w:val="21"/>
          <w:lang w:eastAsia="ar-SA"/>
        </w:rPr>
      </w:pPr>
      <w:r>
        <w:rPr>
          <w:sz w:val="21"/>
          <w:szCs w:val="21"/>
          <w:lang w:val="mk-MK" w:eastAsia="ar-SA"/>
        </w:rPr>
        <w:t xml:space="preserve">Погрешно дејство за големо потенцијален влијание </w:t>
      </w:r>
    </w:p>
    <w:p w:rsidR="004A1986" w:rsidRPr="00C54F87" w:rsidRDefault="004A1986" w:rsidP="004A1986">
      <w:pPr>
        <w:numPr>
          <w:ilvl w:val="0"/>
          <w:numId w:val="2"/>
        </w:numPr>
        <w:tabs>
          <w:tab w:val="clear" w:pos="720"/>
          <w:tab w:val="num" w:pos="426"/>
        </w:tabs>
        <w:spacing w:after="0" w:line="300" w:lineRule="atLeast"/>
        <w:ind w:left="426" w:hanging="284"/>
        <w:rPr>
          <w:sz w:val="21"/>
          <w:szCs w:val="21"/>
          <w:lang w:eastAsia="ar-SA"/>
        </w:rPr>
      </w:pPr>
      <w:r>
        <w:rPr>
          <w:sz w:val="21"/>
          <w:szCs w:val="21"/>
          <w:lang w:val="mk-MK" w:eastAsia="ar-SA"/>
        </w:rPr>
        <w:t xml:space="preserve">Работење на инсталацијата без дозвола или значителна промена на инсталацијата без промени во дозволата </w:t>
      </w:r>
    </w:p>
    <w:p w:rsidR="004A1986" w:rsidRPr="00C54F87" w:rsidRDefault="004A1986" w:rsidP="004A1986">
      <w:pPr>
        <w:numPr>
          <w:ilvl w:val="0"/>
          <w:numId w:val="2"/>
        </w:numPr>
        <w:tabs>
          <w:tab w:val="clear" w:pos="720"/>
          <w:tab w:val="num" w:pos="426"/>
        </w:tabs>
        <w:spacing w:after="0" w:line="300" w:lineRule="atLeast"/>
        <w:ind w:left="426" w:hanging="284"/>
        <w:rPr>
          <w:sz w:val="21"/>
          <w:szCs w:val="21"/>
          <w:lang w:eastAsia="ar-SA"/>
        </w:rPr>
      </w:pPr>
      <w:r>
        <w:rPr>
          <w:sz w:val="21"/>
          <w:szCs w:val="21"/>
          <w:lang w:val="mk-MK" w:eastAsia="ar-SA"/>
        </w:rPr>
        <w:t xml:space="preserve">Релевантни надминувања на максимално дозволени капацитети за складирање на отпадот </w:t>
      </w:r>
    </w:p>
    <w:p w:rsidR="004A1986" w:rsidRPr="004B55FC" w:rsidRDefault="004A1986" w:rsidP="004A1986">
      <w:pPr>
        <w:numPr>
          <w:ilvl w:val="0"/>
          <w:numId w:val="2"/>
        </w:numPr>
        <w:tabs>
          <w:tab w:val="clear" w:pos="720"/>
          <w:tab w:val="num" w:pos="426"/>
        </w:tabs>
        <w:spacing w:after="0" w:line="240" w:lineRule="auto"/>
        <w:ind w:left="426" w:hanging="284"/>
        <w:rPr>
          <w:sz w:val="21"/>
          <w:szCs w:val="21"/>
        </w:rPr>
      </w:pPr>
      <w:r w:rsidRPr="004B55FC">
        <w:rPr>
          <w:sz w:val="21"/>
          <w:szCs w:val="21"/>
          <w:lang w:val="mk-MK"/>
        </w:rPr>
        <w:t xml:space="preserve">За инсталации за третман на отпад: активноста не е покриена со дозволата </w:t>
      </w:r>
    </w:p>
    <w:p w:rsidR="004A1986" w:rsidRPr="004B55FC" w:rsidRDefault="004A1986" w:rsidP="004A1986">
      <w:pPr>
        <w:numPr>
          <w:ilvl w:val="0"/>
          <w:numId w:val="2"/>
        </w:numPr>
        <w:tabs>
          <w:tab w:val="clear" w:pos="720"/>
          <w:tab w:val="num" w:pos="426"/>
        </w:tabs>
        <w:spacing w:after="0" w:line="240" w:lineRule="auto"/>
        <w:ind w:left="426" w:hanging="284"/>
        <w:rPr>
          <w:sz w:val="21"/>
          <w:szCs w:val="21"/>
        </w:rPr>
      </w:pPr>
      <w:r w:rsidRPr="004B55FC">
        <w:rPr>
          <w:sz w:val="21"/>
          <w:szCs w:val="21"/>
          <w:lang w:val="mk-MK"/>
        </w:rPr>
        <w:t xml:space="preserve">Недостасува дозвола за </w:t>
      </w:r>
      <w:r>
        <w:rPr>
          <w:sz w:val="21"/>
          <w:szCs w:val="21"/>
          <w:lang w:val="mk-MK"/>
        </w:rPr>
        <w:t>режим</w:t>
      </w:r>
      <w:r w:rsidRPr="004B55FC">
        <w:rPr>
          <w:sz w:val="21"/>
          <w:szCs w:val="21"/>
          <w:lang w:val="mk-MK"/>
        </w:rPr>
        <w:t xml:space="preserve"> на работа, што може да </w:t>
      </w:r>
      <w:r>
        <w:rPr>
          <w:sz w:val="21"/>
          <w:szCs w:val="21"/>
          <w:lang w:val="mk-MK"/>
        </w:rPr>
        <w:t xml:space="preserve">влијае на емисиите </w:t>
      </w:r>
    </w:p>
    <w:p w:rsidR="004A1986" w:rsidRPr="004B55FC"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Недостасува годишен извештај за само-мониторирање </w:t>
      </w:r>
    </w:p>
    <w:p w:rsidR="004A1986" w:rsidRPr="004B55FC"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Недостасува извештај (ревизија или емисија или мониторинг) </w:t>
      </w:r>
    </w:p>
    <w:p w:rsidR="004A1986" w:rsidRPr="004B55FC"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Недостасува извештај за мерење на емисии, доколку е потребно, или рокот за периодичен извештај е надминат од далеку („</w:t>
      </w:r>
      <w:r w:rsidRPr="004B55FC">
        <w:rPr>
          <w:sz w:val="21"/>
          <w:szCs w:val="21"/>
        </w:rPr>
        <w:t>by far</w:t>
      </w:r>
      <w:r>
        <w:rPr>
          <w:sz w:val="21"/>
          <w:szCs w:val="21"/>
          <w:lang w:val="mk-MK"/>
        </w:rPr>
        <w:t>“)</w:t>
      </w:r>
      <w:r w:rsidRPr="00C54F87">
        <w:rPr>
          <w:rStyle w:val="FootnoteReference"/>
          <w:sz w:val="21"/>
          <w:szCs w:val="21"/>
        </w:rPr>
        <w:footnoteReference w:id="5"/>
      </w:r>
    </w:p>
    <w:p w:rsidR="004A1986" w:rsidRPr="00D05B4E"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Расипан систем за мониторинг за на инсталацијата за заштита од бучава без </w:t>
      </w:r>
      <w:r w:rsidRPr="00D05B4E">
        <w:rPr>
          <w:sz w:val="21"/>
          <w:szCs w:val="21"/>
          <w:lang w:val="mk-MK"/>
        </w:rPr>
        <w:t xml:space="preserve"> надминување на грани</w:t>
      </w:r>
      <w:r>
        <w:rPr>
          <w:sz w:val="21"/>
          <w:szCs w:val="21"/>
          <w:lang w:val="mk-MK"/>
        </w:rPr>
        <w:t>чните вредности на амбиенталната</w:t>
      </w:r>
      <w:r w:rsidRPr="00D05B4E">
        <w:rPr>
          <w:sz w:val="21"/>
          <w:szCs w:val="21"/>
          <w:lang w:val="mk-MK"/>
        </w:rPr>
        <w:t xml:space="preserve"> </w:t>
      </w:r>
      <w:r>
        <w:rPr>
          <w:sz w:val="21"/>
          <w:szCs w:val="21"/>
          <w:lang w:val="mk-MK"/>
        </w:rPr>
        <w:t>бучава</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Не постои одржување или мониторинг на релевантни делови од инсталацијата кои се однесуваат на животната средина  </w:t>
      </w:r>
    </w:p>
    <w:p w:rsidR="004A1986" w:rsidRPr="00D05B4E" w:rsidRDefault="004A1986" w:rsidP="004A1986">
      <w:pPr>
        <w:numPr>
          <w:ilvl w:val="0"/>
          <w:numId w:val="2"/>
        </w:numPr>
        <w:tabs>
          <w:tab w:val="clear" w:pos="720"/>
          <w:tab w:val="num" w:pos="426"/>
        </w:tabs>
        <w:spacing w:after="0" w:line="300" w:lineRule="atLeast"/>
        <w:ind w:left="426" w:hanging="284"/>
        <w:rPr>
          <w:sz w:val="21"/>
          <w:szCs w:val="21"/>
          <w:lang w:eastAsia="ar-SA"/>
        </w:rPr>
      </w:pPr>
      <w:r>
        <w:rPr>
          <w:sz w:val="21"/>
          <w:szCs w:val="21"/>
          <w:lang w:val="mk-MK" w:eastAsia="ar-SA"/>
        </w:rPr>
        <w:t xml:space="preserve">Континуирани мерења се  во недостаток, уредот за мерење не функционира или воопшто не постои </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Надминати гранични вредности на емисија (базирано на НДТ-</w:t>
      </w:r>
      <w:r w:rsidRPr="000031F9">
        <w:rPr>
          <w:sz w:val="21"/>
          <w:szCs w:val="21"/>
          <w:lang w:eastAsia="ar-SA"/>
        </w:rPr>
        <w:t xml:space="preserve"> </w:t>
      </w:r>
      <w:r w:rsidRPr="00C54F87">
        <w:rPr>
          <w:sz w:val="21"/>
          <w:szCs w:val="21"/>
          <w:lang w:eastAsia="ar-SA"/>
        </w:rPr>
        <w:t>AELs</w:t>
      </w:r>
      <w:r>
        <w:rPr>
          <w:sz w:val="21"/>
          <w:szCs w:val="21"/>
          <w:lang w:val="mk-MK" w:eastAsia="ar-SA"/>
        </w:rPr>
        <w:t xml:space="preserve">) кои може да доведат до значително влијание врз здравјето врз луѓето и врз животната средина </w:t>
      </w:r>
    </w:p>
    <w:p w:rsidR="004A1986" w:rsidRPr="000031F9"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lastRenderedPageBreak/>
        <w:t>Значително надминување на граничните вредности на емисија</w:t>
      </w:r>
      <w:r w:rsidRPr="00C54F87">
        <w:rPr>
          <w:rStyle w:val="FootnoteReference"/>
          <w:sz w:val="21"/>
          <w:szCs w:val="21"/>
        </w:rPr>
        <w:footnoteReference w:id="6"/>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Фреквенција (честота) на одржување не е исполнета </w:t>
      </w:r>
    </w:p>
    <w:p w:rsidR="004A1986" w:rsidRPr="00C54F87" w:rsidRDefault="004A1986" w:rsidP="004A1986">
      <w:pPr>
        <w:numPr>
          <w:ilvl w:val="0"/>
          <w:numId w:val="2"/>
        </w:numPr>
        <w:tabs>
          <w:tab w:val="clear" w:pos="720"/>
          <w:tab w:val="num" w:pos="426"/>
        </w:tabs>
        <w:spacing w:after="0" w:line="240" w:lineRule="auto"/>
        <w:ind w:left="426" w:hanging="284"/>
        <w:rPr>
          <w:sz w:val="21"/>
          <w:szCs w:val="21"/>
        </w:rPr>
      </w:pPr>
      <w:r>
        <w:rPr>
          <w:sz w:val="21"/>
          <w:szCs w:val="21"/>
          <w:lang w:val="mk-MK"/>
        </w:rPr>
        <w:t xml:space="preserve">Не се врши одржување на постројката за чистење на издувни гасови </w:t>
      </w:r>
    </w:p>
    <w:p w:rsidR="004A1986" w:rsidRPr="00E35539" w:rsidRDefault="004A1986" w:rsidP="004A1986">
      <w:pPr>
        <w:numPr>
          <w:ilvl w:val="0"/>
          <w:numId w:val="3"/>
        </w:numPr>
        <w:tabs>
          <w:tab w:val="clear" w:pos="720"/>
          <w:tab w:val="num" w:pos="426"/>
        </w:tabs>
        <w:spacing w:after="0" w:line="240" w:lineRule="auto"/>
        <w:ind w:left="426" w:hanging="284"/>
        <w:rPr>
          <w:sz w:val="21"/>
          <w:szCs w:val="21"/>
        </w:rPr>
      </w:pPr>
      <w:r>
        <w:rPr>
          <w:sz w:val="21"/>
          <w:szCs w:val="21"/>
          <w:lang w:val="mk-MK"/>
        </w:rPr>
        <w:t xml:space="preserve">Недостасуваат безбедносни </w:t>
      </w:r>
      <w:r w:rsidRPr="00E35539">
        <w:rPr>
          <w:sz w:val="21"/>
          <w:szCs w:val="21"/>
          <w:lang w:val="mk-MK"/>
        </w:rPr>
        <w:t xml:space="preserve">мерки на претпазливост во </w:t>
      </w:r>
      <w:r>
        <w:rPr>
          <w:sz w:val="21"/>
          <w:szCs w:val="21"/>
          <w:lang w:val="mk-MK"/>
        </w:rPr>
        <w:t>местата за</w:t>
      </w:r>
      <w:r w:rsidRPr="00E35539">
        <w:rPr>
          <w:sz w:val="21"/>
          <w:szCs w:val="21"/>
          <w:lang w:val="mk-MK"/>
        </w:rPr>
        <w:t xml:space="preserve"> </w:t>
      </w:r>
      <w:r>
        <w:rPr>
          <w:sz w:val="21"/>
          <w:szCs w:val="21"/>
          <w:lang w:val="mk-MK"/>
        </w:rPr>
        <w:t xml:space="preserve">складирање </w:t>
      </w:r>
      <w:r w:rsidRPr="00E35539">
        <w:rPr>
          <w:sz w:val="21"/>
          <w:szCs w:val="21"/>
          <w:lang w:val="mk-MK"/>
        </w:rPr>
        <w:t xml:space="preserve">или за ракување со супстанции опасни </w:t>
      </w:r>
      <w:r>
        <w:rPr>
          <w:sz w:val="21"/>
          <w:szCs w:val="21"/>
          <w:lang w:val="mk-MK"/>
        </w:rPr>
        <w:t>по животната средина</w:t>
      </w:r>
      <w:r w:rsidRPr="00E35539">
        <w:rPr>
          <w:sz w:val="21"/>
          <w:szCs w:val="21"/>
          <w:lang w:val="mk-MK"/>
        </w:rPr>
        <w:t xml:space="preserve"> </w:t>
      </w:r>
      <w:r>
        <w:rPr>
          <w:sz w:val="21"/>
          <w:szCs w:val="21"/>
          <w:lang w:val="mk-MK"/>
        </w:rPr>
        <w:t>(пр. басен за чување)</w:t>
      </w:r>
    </w:p>
    <w:p w:rsidR="004A1986" w:rsidRPr="007964C4" w:rsidRDefault="004A1986" w:rsidP="004A1986">
      <w:pPr>
        <w:numPr>
          <w:ilvl w:val="0"/>
          <w:numId w:val="3"/>
        </w:numPr>
        <w:tabs>
          <w:tab w:val="clear" w:pos="720"/>
          <w:tab w:val="num" w:pos="426"/>
        </w:tabs>
        <w:spacing w:after="0" w:line="300" w:lineRule="atLeast"/>
        <w:ind w:left="426" w:hanging="284"/>
        <w:rPr>
          <w:sz w:val="21"/>
          <w:szCs w:val="21"/>
          <w:lang w:eastAsia="ar-SA"/>
        </w:rPr>
      </w:pPr>
      <w:r>
        <w:rPr>
          <w:sz w:val="21"/>
          <w:szCs w:val="21"/>
          <w:lang w:val="mk-MK" w:eastAsia="ar-SA"/>
        </w:rPr>
        <w:t>Работење на инсталации со неисправен филтер или заштитен систем со значително надминување на граничните вредности на емисија</w:t>
      </w:r>
      <w:r w:rsidRPr="00C54F87">
        <w:rPr>
          <w:rStyle w:val="FootnoteReference"/>
          <w:sz w:val="21"/>
          <w:szCs w:val="21"/>
          <w:lang w:eastAsia="ar-SA"/>
        </w:rPr>
        <w:footnoteReference w:id="7"/>
      </w:r>
    </w:p>
    <w:p w:rsidR="004A1986" w:rsidRPr="00C54F87" w:rsidRDefault="004A1986" w:rsidP="004A1986">
      <w:pPr>
        <w:numPr>
          <w:ilvl w:val="0"/>
          <w:numId w:val="3"/>
        </w:numPr>
        <w:tabs>
          <w:tab w:val="clear" w:pos="720"/>
          <w:tab w:val="num" w:pos="426"/>
        </w:tabs>
        <w:spacing w:after="0" w:line="300" w:lineRule="atLeast"/>
        <w:ind w:left="426" w:hanging="284"/>
        <w:rPr>
          <w:sz w:val="21"/>
          <w:szCs w:val="21"/>
          <w:lang w:eastAsia="ar-SA"/>
        </w:rPr>
      </w:pPr>
      <w:r>
        <w:rPr>
          <w:sz w:val="21"/>
          <w:szCs w:val="21"/>
          <w:lang w:val="mk-MK" w:eastAsia="ar-SA"/>
        </w:rPr>
        <w:t xml:space="preserve">Складирање на опасни (течен) отпад на незаштитена почва </w:t>
      </w:r>
    </w:p>
    <w:p w:rsidR="004A1986" w:rsidRPr="007964C4" w:rsidRDefault="004A1986" w:rsidP="004A1986">
      <w:pPr>
        <w:numPr>
          <w:ilvl w:val="0"/>
          <w:numId w:val="3"/>
        </w:numPr>
        <w:tabs>
          <w:tab w:val="clear" w:pos="720"/>
          <w:tab w:val="num" w:pos="426"/>
        </w:tabs>
        <w:spacing w:after="0" w:line="300" w:lineRule="atLeast"/>
        <w:ind w:left="426" w:hanging="284"/>
        <w:rPr>
          <w:sz w:val="21"/>
          <w:szCs w:val="21"/>
          <w:lang w:eastAsia="ar-SA"/>
        </w:rPr>
      </w:pPr>
      <w:r>
        <w:rPr>
          <w:sz w:val="21"/>
          <w:szCs w:val="21"/>
          <w:lang w:val="mk-MK" w:eastAsia="ar-SA"/>
        </w:rPr>
        <w:t>Работење на стар цевковод со единечен зид за опасни материи под почвата без соодветна заштита од корозија</w:t>
      </w:r>
    </w:p>
    <w:p w:rsidR="004A1986" w:rsidRPr="000A6B53" w:rsidRDefault="004A1986" w:rsidP="004A1986">
      <w:pPr>
        <w:numPr>
          <w:ilvl w:val="0"/>
          <w:numId w:val="3"/>
        </w:numPr>
        <w:tabs>
          <w:tab w:val="clear" w:pos="720"/>
          <w:tab w:val="num" w:pos="426"/>
        </w:tabs>
        <w:spacing w:after="0" w:line="300" w:lineRule="atLeast"/>
        <w:ind w:left="426" w:hanging="284"/>
        <w:rPr>
          <w:sz w:val="21"/>
          <w:szCs w:val="21"/>
          <w:lang w:eastAsia="ar-SA"/>
        </w:rPr>
      </w:pPr>
      <w:r>
        <w:rPr>
          <w:sz w:val="21"/>
          <w:szCs w:val="21"/>
          <w:lang w:val="mk-MK" w:eastAsia="ar-SA"/>
        </w:rPr>
        <w:t xml:space="preserve">Неоперативен систем за контрола на емисии или на системот за третман со отпадни води </w:t>
      </w:r>
    </w:p>
    <w:p w:rsidR="004A1986" w:rsidRPr="004E6891" w:rsidRDefault="004A1986" w:rsidP="004A1986">
      <w:pPr>
        <w:numPr>
          <w:ilvl w:val="0"/>
          <w:numId w:val="3"/>
        </w:numPr>
        <w:tabs>
          <w:tab w:val="clear" w:pos="720"/>
          <w:tab w:val="num" w:pos="426"/>
        </w:tabs>
        <w:spacing w:after="0" w:line="300" w:lineRule="atLeast"/>
        <w:ind w:left="426" w:hanging="284"/>
        <w:rPr>
          <w:sz w:val="21"/>
          <w:szCs w:val="21"/>
          <w:lang w:val="mk-MK" w:eastAsia="ar-SA"/>
        </w:rPr>
      </w:pPr>
      <w:r>
        <w:rPr>
          <w:sz w:val="21"/>
          <w:szCs w:val="21"/>
          <w:lang w:val="mk-MK" w:eastAsia="ar-SA"/>
        </w:rPr>
        <w:t xml:space="preserve">Континуирано присуство на мали неусогласености </w:t>
      </w:r>
    </w:p>
    <w:p w:rsidR="004A1986" w:rsidRPr="004E6891" w:rsidRDefault="004A1986" w:rsidP="004A1986">
      <w:pPr>
        <w:numPr>
          <w:ilvl w:val="0"/>
          <w:numId w:val="3"/>
        </w:numPr>
        <w:tabs>
          <w:tab w:val="clear" w:pos="720"/>
          <w:tab w:val="num" w:pos="426"/>
        </w:tabs>
        <w:spacing w:after="0" w:line="300" w:lineRule="atLeast"/>
        <w:ind w:left="426" w:hanging="284"/>
        <w:rPr>
          <w:sz w:val="21"/>
          <w:szCs w:val="21"/>
          <w:lang w:val="mk-MK" w:eastAsia="ar-SA"/>
        </w:rPr>
      </w:pPr>
      <w:r w:rsidRPr="004E6891">
        <w:rPr>
          <w:sz w:val="21"/>
          <w:szCs w:val="21"/>
          <w:lang w:val="mk-MK" w:eastAsia="ar-SA"/>
        </w:rPr>
        <w:t xml:space="preserve">Налозите од претходните инспекциски извештаи не се исполнети </w:t>
      </w:r>
    </w:p>
    <w:p w:rsidR="004A1986" w:rsidRPr="00FB5330" w:rsidRDefault="004A1986" w:rsidP="004A1986">
      <w:pPr>
        <w:rPr>
          <w:lang w:val="mk-MK"/>
        </w:rPr>
      </w:pPr>
    </w:p>
    <w:p w:rsidR="00180A12" w:rsidRPr="004A1986" w:rsidRDefault="00241168">
      <w:pPr>
        <w:rPr>
          <w:lang w:val="mk-MK"/>
        </w:rPr>
      </w:pPr>
      <w:bookmarkStart w:id="10" w:name="_GoBack"/>
      <w:bookmarkEnd w:id="10"/>
    </w:p>
    <w:sectPr w:rsidR="00180A12" w:rsidRPr="004A198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68" w:rsidRDefault="00241168" w:rsidP="004A1986">
      <w:pPr>
        <w:spacing w:after="0" w:line="240" w:lineRule="auto"/>
      </w:pPr>
      <w:r>
        <w:separator/>
      </w:r>
    </w:p>
  </w:endnote>
  <w:endnote w:type="continuationSeparator" w:id="0">
    <w:p w:rsidR="00241168" w:rsidRDefault="00241168" w:rsidP="004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68" w:rsidRDefault="00241168" w:rsidP="004A1986">
      <w:pPr>
        <w:spacing w:after="0" w:line="240" w:lineRule="auto"/>
      </w:pPr>
      <w:r>
        <w:separator/>
      </w:r>
    </w:p>
  </w:footnote>
  <w:footnote w:type="continuationSeparator" w:id="0">
    <w:p w:rsidR="00241168" w:rsidRDefault="00241168" w:rsidP="004A1986">
      <w:pPr>
        <w:spacing w:after="0" w:line="240" w:lineRule="auto"/>
      </w:pPr>
      <w:r>
        <w:continuationSeparator/>
      </w:r>
    </w:p>
  </w:footnote>
  <w:footnote w:id="1">
    <w:p w:rsidR="004A1986" w:rsidRDefault="004A1986" w:rsidP="004A1986">
      <w:pPr>
        <w:pStyle w:val="FootnoteText"/>
        <w:rPr>
          <w:rFonts w:ascii="Calibri" w:eastAsia="Calibri" w:hAnsi="Calibri" w:cs="Times New Roman"/>
          <w:sz w:val="22"/>
          <w:szCs w:val="22"/>
          <w:lang w:val="mk-MK" w:eastAsia="en-US"/>
        </w:rPr>
      </w:pPr>
      <w:r>
        <w:rPr>
          <w:rStyle w:val="FootnoteReference"/>
        </w:rPr>
        <w:footnoteRef/>
      </w:r>
      <w:r w:rsidRPr="00FB5330">
        <w:rPr>
          <w:lang w:val="mk-MK"/>
        </w:rPr>
        <w:t xml:space="preserve"> </w:t>
      </w:r>
      <w:r w:rsidRPr="00FB5330">
        <w:rPr>
          <w:rFonts w:ascii="Calibri" w:eastAsia="Calibri" w:hAnsi="Calibri" w:cs="Times New Roman"/>
          <w:sz w:val="22"/>
          <w:szCs w:val="22"/>
          <w:lang w:val="mk-MK" w:eastAsia="en-US"/>
        </w:rPr>
        <w:t xml:space="preserve">Следете ја дефиницијата </w:t>
      </w:r>
      <w:r>
        <w:rPr>
          <w:rFonts w:ascii="Calibri" w:eastAsia="Calibri" w:hAnsi="Calibri" w:cs="Times New Roman"/>
          <w:sz w:val="22"/>
          <w:szCs w:val="22"/>
          <w:lang w:val="mk-MK" w:eastAsia="en-US"/>
        </w:rPr>
        <w:t>за мали случаи на неусогласеност опишани подолу</w:t>
      </w:r>
    </w:p>
    <w:p w:rsidR="004A1986" w:rsidRPr="00FB5330" w:rsidRDefault="004A1986" w:rsidP="004A1986">
      <w:pPr>
        <w:pStyle w:val="FootnoteText"/>
        <w:rPr>
          <w:lang w:val="mk-MK"/>
        </w:rPr>
      </w:pPr>
      <w:r>
        <w:rPr>
          <w:lang w:val="mk-MK"/>
        </w:rPr>
        <w:t xml:space="preserve"> </w:t>
      </w:r>
    </w:p>
  </w:footnote>
  <w:footnote w:id="2">
    <w:p w:rsidR="004A1986" w:rsidRPr="006025D8" w:rsidRDefault="004A1986" w:rsidP="004A1986">
      <w:pPr>
        <w:rPr>
          <w:lang w:val="mk-MK"/>
        </w:rPr>
      </w:pPr>
      <w:r>
        <w:rPr>
          <w:rStyle w:val="FootnoteReference"/>
        </w:rPr>
        <w:footnoteRef/>
      </w:r>
      <w:r w:rsidRPr="00FB5330">
        <w:rPr>
          <w:lang w:val="mk-MK"/>
        </w:rPr>
        <w:t xml:space="preserve"> </w:t>
      </w:r>
      <w:r>
        <w:rPr>
          <w:lang w:val="mk-MK"/>
        </w:rPr>
        <w:t>Следете ја дефиницијата за сериозн случаи за неусогласеност опишана подолу</w:t>
      </w:r>
    </w:p>
    <w:p w:rsidR="004A1986" w:rsidRPr="00FB5330" w:rsidRDefault="004A1986" w:rsidP="004A1986">
      <w:pPr>
        <w:rPr>
          <w:b/>
          <w:bCs/>
          <w:lang w:val="mk-MK"/>
        </w:rPr>
      </w:pPr>
    </w:p>
    <w:p w:rsidR="004A1986" w:rsidRPr="00FB5330" w:rsidRDefault="004A1986" w:rsidP="004A1986">
      <w:pPr>
        <w:pStyle w:val="FootnoteText"/>
        <w:rPr>
          <w:lang w:val="mk-MK"/>
        </w:rPr>
      </w:pPr>
    </w:p>
  </w:footnote>
  <w:footnote w:id="3">
    <w:p w:rsidR="004A1986" w:rsidRPr="00FB5330" w:rsidRDefault="004A1986" w:rsidP="004A1986">
      <w:pPr>
        <w:pStyle w:val="FootnoteText"/>
        <w:rPr>
          <w:lang w:val="mk-MK"/>
        </w:rPr>
      </w:pPr>
      <w:r>
        <w:rPr>
          <w:rStyle w:val="FootnoteReference"/>
        </w:rPr>
        <w:footnoteRef/>
      </w:r>
      <w:r>
        <w:rPr>
          <w:lang w:val="mk-MK" w:eastAsia="ar-SA"/>
        </w:rPr>
        <w:t xml:space="preserve">Поделбата е базирана на извештајот од </w:t>
      </w:r>
      <w:r w:rsidRPr="00FB5330">
        <w:rPr>
          <w:lang w:val="mk-MK" w:eastAsia="ar-SA"/>
        </w:rPr>
        <w:t xml:space="preserve">IMPEL </w:t>
      </w:r>
      <w:r>
        <w:rPr>
          <w:lang w:val="mk-MK" w:eastAsia="ar-SA"/>
        </w:rPr>
        <w:t>„Поддршка на имплементација на Директивата за индустриски емисии“, која сеуште не објавена</w:t>
      </w:r>
      <w:r w:rsidRPr="00FB5330">
        <w:rPr>
          <w:lang w:val="mk-MK" w:eastAsia="ar-SA"/>
        </w:rPr>
        <w:t> </w:t>
      </w:r>
    </w:p>
  </w:footnote>
  <w:footnote w:id="4">
    <w:p w:rsidR="004A1986" w:rsidRPr="00FB5330" w:rsidRDefault="004A1986" w:rsidP="004A1986">
      <w:pPr>
        <w:pStyle w:val="FootnoteText"/>
        <w:rPr>
          <w:lang w:val="mk-MK"/>
        </w:rPr>
      </w:pPr>
      <w:r>
        <w:rPr>
          <w:rStyle w:val="FootnoteReference"/>
        </w:rPr>
        <w:footnoteRef/>
      </w:r>
      <w:r>
        <w:rPr>
          <w:lang w:val="mk-MK"/>
        </w:rPr>
        <w:t xml:space="preserve">Зависно од видот или фрекфентноста на мерењата и податоците кои недостасуваат, може да се смета за сериозна неусогласеност </w:t>
      </w:r>
    </w:p>
  </w:footnote>
  <w:footnote w:id="5">
    <w:p w:rsidR="004A1986" w:rsidRPr="001B657A" w:rsidRDefault="004A1986" w:rsidP="004A1986">
      <w:pPr>
        <w:pStyle w:val="FootnoteText"/>
        <w:rPr>
          <w:lang w:val="mk-MK"/>
        </w:rPr>
      </w:pPr>
      <w:r>
        <w:rPr>
          <w:rStyle w:val="FootnoteReference"/>
        </w:rPr>
        <w:footnoteRef/>
      </w:r>
      <w:r>
        <w:rPr>
          <w:lang w:val="mk-MK"/>
        </w:rPr>
        <w:t>Се препорачува критериумите да бидат интерно усогласени во ДИЖС што се подразбира под „од далеку“. Ве молиме, имајте предвид дека тоа зависи пр. од фрекфентноста (честотата) на мерењето.</w:t>
      </w:r>
    </w:p>
  </w:footnote>
  <w:footnote w:id="6">
    <w:p w:rsidR="004A1986" w:rsidRPr="00163A2C" w:rsidRDefault="004A1986" w:rsidP="004A1986">
      <w:pPr>
        <w:pStyle w:val="FootnoteText"/>
        <w:rPr>
          <w:lang w:val="mk-MK"/>
        </w:rPr>
      </w:pPr>
      <w:r>
        <w:rPr>
          <w:rStyle w:val="FootnoteReference"/>
        </w:rPr>
        <w:footnoteRef/>
      </w:r>
      <w:r>
        <w:rPr>
          <w:lang w:val="mk-MK"/>
        </w:rPr>
        <w:t xml:space="preserve">Се препорачува критериумите да бидат интерно усогласени во ДИЖС што се подразбира под „вашжно“. Ве молиме, имајте предвид дека се вклучени неколку релевантни фактори пр. самите гранични вредности на емисија (норма), несигурност во мерењето и суштина.  </w:t>
      </w:r>
    </w:p>
  </w:footnote>
  <w:footnote w:id="7">
    <w:p w:rsidR="004A1986" w:rsidRPr="009B7FD7" w:rsidRDefault="004A1986" w:rsidP="004A1986">
      <w:pPr>
        <w:pStyle w:val="FootnoteText"/>
        <w:rPr>
          <w:lang w:val="es-ES"/>
        </w:rPr>
      </w:pPr>
      <w:r>
        <w:rPr>
          <w:rStyle w:val="FootnoteReference"/>
        </w:rPr>
        <w:footnoteRef/>
      </w:r>
      <w:r>
        <w:rPr>
          <w:lang w:val="mk-MK"/>
        </w:rPr>
        <w:t>Видете го претходниот коментар.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B2F10"/>
    <w:multiLevelType w:val="hybridMultilevel"/>
    <w:tmpl w:val="8EFE2EBC"/>
    <w:lvl w:ilvl="0" w:tplc="6CBCECE0">
      <w:start w:val="1"/>
      <w:numFmt w:val="bullet"/>
      <w:lvlText w:val=""/>
      <w:lvlJc w:val="left"/>
      <w:pPr>
        <w:tabs>
          <w:tab w:val="num" w:pos="720"/>
        </w:tabs>
        <w:ind w:left="720" w:hanging="360"/>
      </w:pPr>
      <w:rPr>
        <w:rFonts w:ascii="Symbol" w:hAnsi="Symbol" w:cs="Gill Sans MT" w:hint="default"/>
        <w:color w:val="auto"/>
      </w:rPr>
    </w:lvl>
    <w:lvl w:ilvl="1" w:tplc="0407000B">
      <w:start w:val="1"/>
      <w:numFmt w:val="bullet"/>
      <w:lvlText w:val=""/>
      <w:lvlJc w:val="left"/>
      <w:pPr>
        <w:tabs>
          <w:tab w:val="num" w:pos="1440"/>
        </w:tabs>
        <w:ind w:left="1440" w:hanging="360"/>
      </w:pPr>
      <w:rPr>
        <w:rFonts w:ascii="Wingdings" w:hAnsi="Wingdings" w:cs="Courier New" w:hint="default"/>
      </w:rPr>
    </w:lvl>
    <w:lvl w:ilvl="2" w:tplc="04070005">
      <w:start w:val="1"/>
      <w:numFmt w:val="bullet"/>
      <w:lvlText w:val=""/>
      <w:lvlJc w:val="left"/>
      <w:pPr>
        <w:tabs>
          <w:tab w:val="num" w:pos="2160"/>
        </w:tabs>
        <w:ind w:left="2160" w:hanging="360"/>
      </w:pPr>
      <w:rPr>
        <w:rFonts w:ascii="Wingdings" w:hAnsi="Wingdings" w:cs="Courier New" w:hint="default"/>
      </w:rPr>
    </w:lvl>
    <w:lvl w:ilvl="3" w:tplc="04070001">
      <w:start w:val="1"/>
      <w:numFmt w:val="bullet"/>
      <w:lvlText w:val=""/>
      <w:lvlJc w:val="left"/>
      <w:pPr>
        <w:tabs>
          <w:tab w:val="num" w:pos="2880"/>
        </w:tabs>
        <w:ind w:left="2880" w:hanging="360"/>
      </w:pPr>
      <w:rPr>
        <w:rFonts w:ascii="Symbol" w:hAnsi="Symbol" w:cs="Gill Sans MT"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Courier New" w:hint="default"/>
      </w:rPr>
    </w:lvl>
    <w:lvl w:ilvl="6" w:tplc="04070001">
      <w:start w:val="1"/>
      <w:numFmt w:val="bullet"/>
      <w:lvlText w:val=""/>
      <w:lvlJc w:val="left"/>
      <w:pPr>
        <w:tabs>
          <w:tab w:val="num" w:pos="5040"/>
        </w:tabs>
        <w:ind w:left="5040" w:hanging="360"/>
      </w:pPr>
      <w:rPr>
        <w:rFonts w:ascii="Symbol" w:hAnsi="Symbol" w:cs="Gill Sans MT"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Courier New" w:hint="default"/>
      </w:rPr>
    </w:lvl>
  </w:abstractNum>
  <w:abstractNum w:abstractNumId="1" w15:restartNumberingAfterBreak="0">
    <w:nsid w:val="4EF55717"/>
    <w:multiLevelType w:val="hybridMultilevel"/>
    <w:tmpl w:val="D2A23F70"/>
    <w:lvl w:ilvl="0" w:tplc="04070001">
      <w:start w:val="1"/>
      <w:numFmt w:val="bullet"/>
      <w:lvlText w:val=""/>
      <w:lvlJc w:val="left"/>
      <w:pPr>
        <w:tabs>
          <w:tab w:val="num" w:pos="720"/>
        </w:tabs>
        <w:ind w:left="720" w:hanging="360"/>
      </w:pPr>
      <w:rPr>
        <w:rFonts w:ascii="Symbol" w:hAnsi="Symbol" w:cs="Gill Sans MT" w:hint="default"/>
      </w:rPr>
    </w:lvl>
    <w:lvl w:ilvl="1" w:tplc="0407000B">
      <w:start w:val="1"/>
      <w:numFmt w:val="bullet"/>
      <w:lvlText w:val=""/>
      <w:lvlJc w:val="left"/>
      <w:pPr>
        <w:tabs>
          <w:tab w:val="num" w:pos="1440"/>
        </w:tabs>
        <w:ind w:left="1440" w:hanging="360"/>
      </w:pPr>
      <w:rPr>
        <w:rFonts w:ascii="Wingdings" w:hAnsi="Wingdings" w:cs="Courier New" w:hint="default"/>
      </w:rPr>
    </w:lvl>
    <w:lvl w:ilvl="2" w:tplc="04070005">
      <w:start w:val="1"/>
      <w:numFmt w:val="bullet"/>
      <w:lvlText w:val=""/>
      <w:lvlJc w:val="left"/>
      <w:pPr>
        <w:tabs>
          <w:tab w:val="num" w:pos="2160"/>
        </w:tabs>
        <w:ind w:left="2160" w:hanging="360"/>
      </w:pPr>
      <w:rPr>
        <w:rFonts w:ascii="Wingdings" w:hAnsi="Wingdings" w:cs="Courier New" w:hint="default"/>
      </w:rPr>
    </w:lvl>
    <w:lvl w:ilvl="3" w:tplc="04070001">
      <w:start w:val="1"/>
      <w:numFmt w:val="bullet"/>
      <w:lvlText w:val=""/>
      <w:lvlJc w:val="left"/>
      <w:pPr>
        <w:tabs>
          <w:tab w:val="num" w:pos="2880"/>
        </w:tabs>
        <w:ind w:left="2880" w:hanging="360"/>
      </w:pPr>
      <w:rPr>
        <w:rFonts w:ascii="Symbol" w:hAnsi="Symbol" w:cs="Gill Sans MT"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Courier New" w:hint="default"/>
      </w:rPr>
    </w:lvl>
    <w:lvl w:ilvl="6" w:tplc="04070001">
      <w:start w:val="1"/>
      <w:numFmt w:val="bullet"/>
      <w:lvlText w:val=""/>
      <w:lvlJc w:val="left"/>
      <w:pPr>
        <w:tabs>
          <w:tab w:val="num" w:pos="5040"/>
        </w:tabs>
        <w:ind w:left="5040" w:hanging="360"/>
      </w:pPr>
      <w:rPr>
        <w:rFonts w:ascii="Symbol" w:hAnsi="Symbol" w:cs="Gill Sans MT"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Courier New" w:hint="default"/>
      </w:rPr>
    </w:lvl>
  </w:abstractNum>
  <w:abstractNum w:abstractNumId="2" w15:restartNumberingAfterBreak="0">
    <w:nsid w:val="5174190E"/>
    <w:multiLevelType w:val="hybridMultilevel"/>
    <w:tmpl w:val="BDC0E782"/>
    <w:lvl w:ilvl="0" w:tplc="0409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Arial"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Arial"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18"/>
    <w:rsid w:val="000B6CBB"/>
    <w:rsid w:val="000D3258"/>
    <w:rsid w:val="00226D9E"/>
    <w:rsid w:val="00241168"/>
    <w:rsid w:val="004A1986"/>
    <w:rsid w:val="006B0A18"/>
    <w:rsid w:val="007236B8"/>
    <w:rsid w:val="00E925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76D19-D798-4DC5-957C-E0496C8A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986"/>
    <w:pPr>
      <w:spacing w:after="200" w:line="276" w:lineRule="auto"/>
      <w:jc w:val="both"/>
    </w:pPr>
    <w:rPr>
      <w:sz w:val="22"/>
      <w:szCs w:val="22"/>
      <w:lang w:val="en-GB"/>
    </w:rPr>
  </w:style>
  <w:style w:type="paragraph" w:styleId="Heading1">
    <w:name w:val="heading 1"/>
    <w:basedOn w:val="Normal"/>
    <w:next w:val="Normal"/>
    <w:link w:val="Heading1Char"/>
    <w:uiPriority w:val="9"/>
    <w:qFormat/>
    <w:rsid w:val="00E9254E"/>
    <w:pPr>
      <w:keepNext/>
      <w:spacing w:before="240" w:after="60"/>
      <w:outlineLvl w:val="0"/>
    </w:pPr>
    <w:rPr>
      <w:rFonts w:asciiTheme="minorHAnsi" w:eastAsia="Times New Roman" w:hAnsiTheme="minorHAnsi"/>
      <w:b/>
      <w:bCs/>
      <w:i/>
      <w:color w:val="1F4E79" w:themeColor="accent1" w:themeShade="80"/>
      <w:kern w:val="32"/>
      <w:sz w:val="40"/>
      <w:szCs w:val="32"/>
    </w:rPr>
  </w:style>
  <w:style w:type="paragraph" w:styleId="Heading2">
    <w:name w:val="heading 2"/>
    <w:basedOn w:val="Normal"/>
    <w:next w:val="Normal"/>
    <w:link w:val="Heading2Char"/>
    <w:qFormat/>
    <w:rsid w:val="00E9254E"/>
    <w:pPr>
      <w:keepNext/>
      <w:spacing w:before="240" w:after="60"/>
      <w:outlineLvl w:val="1"/>
    </w:pPr>
    <w:rPr>
      <w:rFonts w:asciiTheme="minorHAnsi" w:eastAsiaTheme="majorEastAsia" w:hAnsiTheme="minorHAnsi" w:cstheme="majorBidi"/>
      <w:b/>
      <w:bCs/>
      <w:i/>
      <w:iCs/>
      <w:color w:val="1F4E79" w:themeColor="accent1" w:themeShade="80"/>
      <w:sz w:val="32"/>
      <w:szCs w:val="28"/>
    </w:rPr>
  </w:style>
  <w:style w:type="paragraph" w:styleId="Heading3">
    <w:name w:val="heading 3"/>
    <w:basedOn w:val="Normal"/>
    <w:next w:val="Normal"/>
    <w:link w:val="Heading3Char"/>
    <w:qFormat/>
    <w:rsid w:val="00E9254E"/>
    <w:pPr>
      <w:keepNext/>
      <w:spacing w:before="240" w:after="60"/>
      <w:outlineLvl w:val="2"/>
    </w:pPr>
    <w:rPr>
      <w:rFonts w:asciiTheme="minorHAnsi" w:eastAsiaTheme="majorEastAsia" w:hAnsiTheme="minorHAnsi" w:cstheme="majorBidi"/>
      <w:b/>
      <w:bCs/>
      <w:sz w:val="28"/>
      <w:szCs w:val="26"/>
    </w:rPr>
  </w:style>
  <w:style w:type="paragraph" w:styleId="Heading4">
    <w:name w:val="heading 4"/>
    <w:basedOn w:val="Normal"/>
    <w:next w:val="Normal"/>
    <w:link w:val="Heading4Char"/>
    <w:uiPriority w:val="9"/>
    <w:unhideWhenUsed/>
    <w:qFormat/>
    <w:rsid w:val="00226D9E"/>
    <w:pPr>
      <w:keepNext/>
      <w:spacing w:before="240" w:after="60"/>
      <w:jc w:val="left"/>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7236B8"/>
    <w:pPr>
      <w:spacing w:before="240" w:after="60"/>
      <w:outlineLvl w:val="4"/>
    </w:pPr>
    <w:rPr>
      <w:rFonts w:asciiTheme="minorHAnsi" w:eastAsiaTheme="minorEastAsia" w:hAnsiTheme="minorHAnsi" w:cstheme="minorBidi"/>
      <w:b/>
      <w:bCs/>
      <w:iCs/>
      <w:color w:val="1F4E79" w:themeColor="accent1" w:themeShade="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254E"/>
    <w:rPr>
      <w:rFonts w:asciiTheme="minorHAnsi" w:eastAsia="Times New Roman" w:hAnsiTheme="minorHAnsi"/>
      <w:b/>
      <w:bCs/>
      <w:i/>
      <w:color w:val="1F4E79" w:themeColor="accent1" w:themeShade="80"/>
      <w:kern w:val="32"/>
      <w:sz w:val="40"/>
      <w:szCs w:val="32"/>
      <w:lang w:val="en-GB"/>
    </w:rPr>
  </w:style>
  <w:style w:type="character" w:customStyle="1" w:styleId="Heading2Char">
    <w:name w:val="Heading 2 Char"/>
    <w:basedOn w:val="DefaultParagraphFont"/>
    <w:link w:val="Heading2"/>
    <w:rsid w:val="00E9254E"/>
    <w:rPr>
      <w:rFonts w:asciiTheme="minorHAnsi" w:eastAsiaTheme="majorEastAsia" w:hAnsiTheme="minorHAnsi" w:cstheme="majorBidi"/>
      <w:b/>
      <w:bCs/>
      <w:i/>
      <w:iCs/>
      <w:color w:val="1F4E79" w:themeColor="accent1" w:themeShade="80"/>
      <w:sz w:val="32"/>
      <w:szCs w:val="28"/>
      <w:lang w:val="en-GB"/>
    </w:rPr>
  </w:style>
  <w:style w:type="character" w:customStyle="1" w:styleId="Heading3Char">
    <w:name w:val="Heading 3 Char"/>
    <w:basedOn w:val="DefaultParagraphFont"/>
    <w:link w:val="Heading3"/>
    <w:rsid w:val="00E9254E"/>
    <w:rPr>
      <w:rFonts w:asciiTheme="minorHAnsi" w:eastAsiaTheme="majorEastAsia" w:hAnsiTheme="minorHAnsi" w:cstheme="majorBidi"/>
      <w:b/>
      <w:bCs/>
      <w:sz w:val="28"/>
      <w:szCs w:val="26"/>
      <w:lang w:val="en-GB"/>
    </w:rPr>
  </w:style>
  <w:style w:type="paragraph" w:customStyle="1" w:styleId="TEXTEINFO">
    <w:name w:val="TEXTE INFO."/>
    <w:basedOn w:val="Normal"/>
    <w:rsid w:val="00E9254E"/>
    <w:pPr>
      <w:spacing w:after="80" w:line="240" w:lineRule="auto"/>
    </w:pPr>
    <w:rPr>
      <w:rFonts w:ascii="Helvetica" w:eastAsia="Times New Roman" w:hAnsi="Helvetica"/>
      <w:color w:val="000080"/>
      <w:sz w:val="18"/>
      <w:szCs w:val="24"/>
      <w:lang w:val="en-US" w:eastAsia="fr-FR"/>
    </w:rPr>
  </w:style>
  <w:style w:type="paragraph" w:customStyle="1" w:styleId="Default">
    <w:name w:val="Default"/>
    <w:rsid w:val="00E9254E"/>
    <w:rPr>
      <w:rFonts w:ascii="Times New Roman" w:eastAsia="Times New Roman" w:hAnsi="Times New Roman"/>
      <w:snapToGrid w:val="0"/>
      <w:color w:val="000000"/>
      <w:sz w:val="24"/>
      <w:lang w:val="en-GB"/>
    </w:rPr>
  </w:style>
  <w:style w:type="paragraph" w:styleId="TOC1">
    <w:name w:val="toc 1"/>
    <w:basedOn w:val="Normal"/>
    <w:next w:val="Normal"/>
    <w:uiPriority w:val="39"/>
    <w:rsid w:val="007236B8"/>
    <w:pPr>
      <w:widowControl w:val="0"/>
      <w:tabs>
        <w:tab w:val="left" w:pos="709"/>
      </w:tabs>
      <w:spacing w:before="200" w:after="120" w:line="240" w:lineRule="auto"/>
      <w:ind w:left="425" w:hanging="425"/>
    </w:pPr>
    <w:rPr>
      <w:rFonts w:eastAsia="Times New Roman"/>
      <w:b/>
      <w:sz w:val="24"/>
      <w:szCs w:val="20"/>
      <w:lang w:eastAsia="en-GB"/>
    </w:rPr>
  </w:style>
  <w:style w:type="paragraph" w:styleId="FootnoteText">
    <w:name w:val="footnote text"/>
    <w:basedOn w:val="Normal"/>
    <w:link w:val="FootnoteTextChar"/>
    <w:uiPriority w:val="99"/>
    <w:semiHidden/>
    <w:rsid w:val="00E9254E"/>
    <w:pPr>
      <w:spacing w:after="0" w:line="240" w:lineRule="auto"/>
    </w:pPr>
    <w:rPr>
      <w:rFonts w:ascii="Arial" w:eastAsia="Times New Roman" w:hAnsi="Arial" w:cs="Arial"/>
      <w:sz w:val="20"/>
      <w:szCs w:val="20"/>
      <w:lang w:eastAsia="fi-FI"/>
    </w:rPr>
  </w:style>
  <w:style w:type="character" w:customStyle="1" w:styleId="FootnoteTextChar">
    <w:name w:val="Footnote Text Char"/>
    <w:basedOn w:val="DefaultParagraphFont"/>
    <w:link w:val="FootnoteText"/>
    <w:uiPriority w:val="99"/>
    <w:semiHidden/>
    <w:rsid w:val="00E9254E"/>
    <w:rPr>
      <w:rFonts w:ascii="Arial" w:eastAsia="Times New Roman" w:hAnsi="Arial" w:cs="Arial"/>
      <w:sz w:val="20"/>
      <w:szCs w:val="20"/>
      <w:lang w:val="en-GB" w:eastAsia="fi-FI"/>
    </w:rPr>
  </w:style>
  <w:style w:type="paragraph" w:styleId="Header">
    <w:name w:val="header"/>
    <w:basedOn w:val="Normal"/>
    <w:link w:val="HeaderChar"/>
    <w:unhideWhenUsed/>
    <w:rsid w:val="00E9254E"/>
    <w:pPr>
      <w:tabs>
        <w:tab w:val="center" w:pos="4536"/>
        <w:tab w:val="right" w:pos="9072"/>
      </w:tabs>
    </w:pPr>
  </w:style>
  <w:style w:type="character" w:customStyle="1" w:styleId="HeaderChar">
    <w:name w:val="Header Char"/>
    <w:link w:val="Header"/>
    <w:rsid w:val="00E9254E"/>
    <w:rPr>
      <w:rFonts w:ascii="Calibri" w:eastAsia="Calibri" w:hAnsi="Calibri" w:cs="Times New Roman"/>
      <w:lang w:val="en-GB"/>
    </w:rPr>
  </w:style>
  <w:style w:type="paragraph" w:styleId="Footer">
    <w:name w:val="footer"/>
    <w:basedOn w:val="Normal"/>
    <w:link w:val="FooterChar"/>
    <w:uiPriority w:val="99"/>
    <w:unhideWhenUsed/>
    <w:rsid w:val="00E9254E"/>
    <w:pPr>
      <w:tabs>
        <w:tab w:val="center" w:pos="4536"/>
        <w:tab w:val="right" w:pos="9072"/>
      </w:tabs>
    </w:pPr>
  </w:style>
  <w:style w:type="character" w:customStyle="1" w:styleId="FooterChar">
    <w:name w:val="Footer Char"/>
    <w:link w:val="Footer"/>
    <w:uiPriority w:val="99"/>
    <w:rsid w:val="00E9254E"/>
    <w:rPr>
      <w:rFonts w:ascii="Calibri" w:eastAsia="Calibri" w:hAnsi="Calibri" w:cs="Times New Roman"/>
      <w:lang w:val="en-GB"/>
    </w:rPr>
  </w:style>
  <w:style w:type="character" w:styleId="FootnoteReference">
    <w:name w:val="footnote reference"/>
    <w:basedOn w:val="DefaultParagraphFont"/>
    <w:uiPriority w:val="99"/>
    <w:semiHidden/>
    <w:rsid w:val="00E9254E"/>
    <w:rPr>
      <w:vertAlign w:val="superscript"/>
    </w:rPr>
  </w:style>
  <w:style w:type="paragraph" w:styleId="BodyText">
    <w:name w:val="Body Text"/>
    <w:basedOn w:val="Normal"/>
    <w:link w:val="BodyTextChar"/>
    <w:rsid w:val="00E9254E"/>
    <w:pPr>
      <w:widowControl w:val="0"/>
      <w:spacing w:after="0" w:line="240" w:lineRule="auto"/>
    </w:pPr>
    <w:rPr>
      <w:rFonts w:ascii="Times New Roman" w:eastAsia="Times New Roman" w:hAnsi="Times New Roman"/>
      <w:b/>
      <w:i/>
      <w:sz w:val="24"/>
      <w:szCs w:val="20"/>
      <w:u w:val="single"/>
      <w:lang w:eastAsia="en-GB"/>
    </w:rPr>
  </w:style>
  <w:style w:type="character" w:customStyle="1" w:styleId="BodyTextChar">
    <w:name w:val="Body Text Char"/>
    <w:basedOn w:val="DefaultParagraphFont"/>
    <w:link w:val="BodyText"/>
    <w:rsid w:val="00E9254E"/>
    <w:rPr>
      <w:rFonts w:ascii="Times New Roman" w:eastAsia="Times New Roman" w:hAnsi="Times New Roman" w:cs="Times New Roman"/>
      <w:b/>
      <w:i/>
      <w:sz w:val="24"/>
      <w:szCs w:val="20"/>
      <w:u w:val="single"/>
      <w:lang w:val="en-GB" w:eastAsia="en-GB"/>
    </w:rPr>
  </w:style>
  <w:style w:type="paragraph" w:styleId="BodyText2">
    <w:name w:val="Body Text 2"/>
    <w:basedOn w:val="Normal"/>
    <w:link w:val="BodyText2Char"/>
    <w:rsid w:val="00E9254E"/>
    <w:pPr>
      <w:widowControl w:val="0"/>
      <w:spacing w:after="0" w:line="240" w:lineRule="auto"/>
      <w:ind w:left="720"/>
    </w:pPr>
    <w:rPr>
      <w:rFonts w:ascii="Times New Roman" w:eastAsia="Times New Roman" w:hAnsi="Times New Roman"/>
      <w:i/>
      <w:sz w:val="24"/>
      <w:szCs w:val="20"/>
      <w:lang w:eastAsia="en-GB"/>
    </w:rPr>
  </w:style>
  <w:style w:type="character" w:customStyle="1" w:styleId="BodyText2Char">
    <w:name w:val="Body Text 2 Char"/>
    <w:basedOn w:val="DefaultParagraphFont"/>
    <w:link w:val="BodyText2"/>
    <w:rsid w:val="00E9254E"/>
    <w:rPr>
      <w:rFonts w:ascii="Times New Roman" w:eastAsia="Times New Roman" w:hAnsi="Times New Roman" w:cs="Times New Roman"/>
      <w:i/>
      <w:sz w:val="24"/>
      <w:szCs w:val="20"/>
      <w:lang w:val="en-GB" w:eastAsia="en-GB"/>
    </w:rPr>
  </w:style>
  <w:style w:type="paragraph" w:styleId="BodyTextIndent2">
    <w:name w:val="Body Text Indent 2"/>
    <w:basedOn w:val="Normal"/>
    <w:link w:val="BodyTextIndent2Char"/>
    <w:rsid w:val="00E9254E"/>
    <w:pPr>
      <w:widowControl w:val="0"/>
      <w:spacing w:after="0" w:line="240" w:lineRule="auto"/>
      <w:ind w:left="1134" w:hanging="414"/>
    </w:pPr>
    <w:rPr>
      <w:rFonts w:ascii="Arial" w:eastAsia="Times New Roman" w:hAnsi="Arial"/>
      <w:sz w:val="24"/>
      <w:szCs w:val="20"/>
      <w:lang w:eastAsia="en-GB"/>
    </w:rPr>
  </w:style>
  <w:style w:type="character" w:customStyle="1" w:styleId="BodyTextIndent2Char">
    <w:name w:val="Body Text Indent 2 Char"/>
    <w:basedOn w:val="DefaultParagraphFont"/>
    <w:link w:val="BodyTextIndent2"/>
    <w:rsid w:val="00E9254E"/>
    <w:rPr>
      <w:rFonts w:ascii="Arial" w:eastAsia="Times New Roman" w:hAnsi="Arial" w:cs="Times New Roman"/>
      <w:sz w:val="24"/>
      <w:szCs w:val="20"/>
      <w:lang w:val="en-GB" w:eastAsia="en-GB"/>
    </w:rPr>
  </w:style>
  <w:style w:type="character" w:styleId="Hyperlink">
    <w:name w:val="Hyperlink"/>
    <w:rsid w:val="00E9254E"/>
    <w:rPr>
      <w:color w:val="0000FF"/>
      <w:u w:val="single"/>
    </w:rPr>
  </w:style>
  <w:style w:type="paragraph" w:styleId="DocumentMap">
    <w:name w:val="Document Map"/>
    <w:basedOn w:val="Normal"/>
    <w:link w:val="DocumentMapChar"/>
    <w:semiHidden/>
    <w:rsid w:val="00E9254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9254E"/>
    <w:rPr>
      <w:rFonts w:ascii="Tahoma" w:eastAsia="Calibri" w:hAnsi="Tahoma" w:cs="Tahoma"/>
      <w:sz w:val="20"/>
      <w:szCs w:val="20"/>
      <w:shd w:val="clear" w:color="auto" w:fill="000080"/>
      <w:lang w:val="en-GB"/>
    </w:rPr>
  </w:style>
  <w:style w:type="paragraph" w:styleId="BalloonText">
    <w:name w:val="Balloon Text"/>
    <w:basedOn w:val="Normal"/>
    <w:link w:val="BalloonTextChar"/>
    <w:uiPriority w:val="99"/>
    <w:semiHidden/>
    <w:unhideWhenUsed/>
    <w:rsid w:val="00E925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254E"/>
    <w:rPr>
      <w:rFonts w:ascii="Tahoma" w:eastAsia="Calibri" w:hAnsi="Tahoma" w:cs="Tahoma"/>
      <w:sz w:val="16"/>
      <w:szCs w:val="16"/>
      <w:lang w:val="en-GB"/>
    </w:rPr>
  </w:style>
  <w:style w:type="paragraph" w:styleId="NoSpacing">
    <w:name w:val="No Spacing"/>
    <w:uiPriority w:val="1"/>
    <w:qFormat/>
    <w:rsid w:val="00E9254E"/>
    <w:rPr>
      <w:lang w:val="en-GB"/>
    </w:rPr>
  </w:style>
  <w:style w:type="character" w:customStyle="1" w:styleId="Heading4Char">
    <w:name w:val="Heading 4 Char"/>
    <w:link w:val="Heading4"/>
    <w:uiPriority w:val="9"/>
    <w:rsid w:val="00226D9E"/>
    <w:rPr>
      <w:rFonts w:eastAsia="Times New Roman"/>
      <w:b/>
      <w:bCs/>
      <w:sz w:val="24"/>
      <w:szCs w:val="28"/>
      <w:lang w:val="en-GB"/>
    </w:rPr>
  </w:style>
  <w:style w:type="character" w:customStyle="1" w:styleId="Heading5Char">
    <w:name w:val="Heading 5 Char"/>
    <w:basedOn w:val="DefaultParagraphFont"/>
    <w:link w:val="Heading5"/>
    <w:uiPriority w:val="9"/>
    <w:rsid w:val="007236B8"/>
    <w:rPr>
      <w:rFonts w:asciiTheme="minorHAnsi" w:eastAsiaTheme="minorEastAsia" w:hAnsiTheme="minorHAnsi" w:cstheme="minorBidi"/>
      <w:b/>
      <w:bCs/>
      <w:iCs/>
      <w:color w:val="1F4E79" w:themeColor="accent1" w:themeShade="80"/>
      <w:sz w:val="24"/>
      <w:szCs w:val="26"/>
      <w:lang w:val="en-GB"/>
    </w:rPr>
  </w:style>
  <w:style w:type="paragraph" w:styleId="TOC3">
    <w:name w:val="toc 3"/>
    <w:basedOn w:val="Normal"/>
    <w:next w:val="Normal"/>
    <w:autoRedefine/>
    <w:uiPriority w:val="39"/>
    <w:unhideWhenUsed/>
    <w:rsid w:val="007236B8"/>
    <w:pPr>
      <w:spacing w:after="60"/>
      <w:ind w:left="442"/>
    </w:pPr>
  </w:style>
  <w:style w:type="paragraph" w:styleId="TOC2">
    <w:name w:val="toc 2"/>
    <w:basedOn w:val="Normal"/>
    <w:next w:val="Normal"/>
    <w:autoRedefine/>
    <w:uiPriority w:val="39"/>
    <w:unhideWhenUsed/>
    <w:rsid w:val="007236B8"/>
    <w:pPr>
      <w:spacing w:after="60"/>
      <w:ind w:left="221"/>
    </w:pPr>
  </w:style>
  <w:style w:type="paragraph" w:styleId="TOC4">
    <w:name w:val="toc 4"/>
    <w:basedOn w:val="Normal"/>
    <w:next w:val="Normal"/>
    <w:autoRedefine/>
    <w:uiPriority w:val="39"/>
    <w:unhideWhenUsed/>
    <w:rsid w:val="007236B8"/>
    <w:pPr>
      <w:spacing w:after="60"/>
      <w:ind w:left="658"/>
    </w:pPr>
  </w:style>
  <w:style w:type="paragraph" w:styleId="ListParagraph">
    <w:name w:val="List Paragraph"/>
    <w:basedOn w:val="Normal"/>
    <w:link w:val="ListParagraphChar"/>
    <w:uiPriority w:val="34"/>
    <w:qFormat/>
    <w:rsid w:val="004A1986"/>
    <w:pPr>
      <w:spacing w:after="160" w:line="259" w:lineRule="auto"/>
      <w:ind w:left="720"/>
      <w:contextualSpacing/>
      <w:jc w:val="left"/>
    </w:pPr>
    <w:rPr>
      <w:lang w:val="es-ES"/>
    </w:rPr>
  </w:style>
  <w:style w:type="paragraph" w:styleId="NormalWeb">
    <w:name w:val="Normal (Web)"/>
    <w:basedOn w:val="Normal"/>
    <w:uiPriority w:val="99"/>
    <w:unhideWhenUsed/>
    <w:rsid w:val="004A1986"/>
    <w:pPr>
      <w:spacing w:before="100" w:beforeAutospacing="1" w:after="100" w:afterAutospacing="1" w:line="240" w:lineRule="auto"/>
      <w:jc w:val="left"/>
    </w:pPr>
    <w:rPr>
      <w:rFonts w:ascii="Times New Roman" w:eastAsiaTheme="minorEastAsia" w:hAnsi="Times New Roman"/>
      <w:sz w:val="24"/>
      <w:szCs w:val="24"/>
      <w:lang w:val="nl-NL" w:eastAsia="nl-NL"/>
    </w:rPr>
  </w:style>
  <w:style w:type="character" w:customStyle="1" w:styleId="ListParagraphChar">
    <w:name w:val="List Paragraph Char"/>
    <w:link w:val="ListParagraph"/>
    <w:uiPriority w:val="34"/>
    <w:rsid w:val="004A1986"/>
    <w:rPr>
      <w:sz w:val="22"/>
      <w:szCs w:val="22"/>
    </w:rPr>
  </w:style>
  <w:style w:type="paragraph" w:customStyle="1" w:styleId="Odstavecseseznamem1">
    <w:name w:val="Odstavec se seznamem1"/>
    <w:basedOn w:val="Normal"/>
    <w:uiPriority w:val="99"/>
    <w:rsid w:val="004A1986"/>
    <w:pPr>
      <w:widowControl w:val="0"/>
      <w:spacing w:after="0" w:line="240" w:lineRule="auto"/>
      <w:ind w:left="720"/>
      <w:jc w:val="left"/>
    </w:pPr>
    <w:rPr>
      <w:rFonts w:ascii="Arial" w:eastAsia="Times New Roman" w:hAnsi="Arial" w:cs="Arial"/>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5901</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Seoanez</dc:creator>
  <cp:keywords/>
  <dc:description/>
  <cp:lastModifiedBy>Cesar Seoanez</cp:lastModifiedBy>
  <cp:revision>2</cp:revision>
  <dcterms:created xsi:type="dcterms:W3CDTF">2016-06-01T19:09:00Z</dcterms:created>
  <dcterms:modified xsi:type="dcterms:W3CDTF">2016-06-01T19:10:00Z</dcterms:modified>
</cp:coreProperties>
</file>