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AB39" w14:textId="77777777" w:rsidR="00B16C23" w:rsidRDefault="00B16C04" w:rsidP="00B16C23">
      <w:pPr>
        <w:spacing w:after="0"/>
      </w:pPr>
      <w:r>
        <w:t xml:space="preserve"> </w:t>
      </w:r>
    </w:p>
    <w:p w14:paraId="593B5D55" w14:textId="77777777" w:rsidR="00B16C23" w:rsidRDefault="00B16C23" w:rsidP="00B16C23">
      <w:pPr>
        <w:spacing w:after="0"/>
      </w:pPr>
    </w:p>
    <w:p w14:paraId="5578657D" w14:textId="77777777" w:rsidR="00B16C23" w:rsidRDefault="00B16C04" w:rsidP="00B16C23">
      <w:pPr>
        <w:jc w:val="center"/>
        <w:rPr>
          <w:b/>
          <w:color w:val="548DD4"/>
          <w:sz w:val="50"/>
          <w:szCs w:val="50"/>
        </w:rPr>
      </w:pPr>
      <w:r>
        <w:rPr>
          <w:rFonts w:cs="Calibri"/>
          <w:b/>
          <w:bCs/>
          <w:color w:val="548DD4"/>
          <w:sz w:val="50"/>
          <w:szCs w:val="50"/>
          <w:bdr w:val="nil"/>
          <w:lang w:val="mk-MK" w:bidi="mk-MK"/>
        </w:rPr>
        <w:t xml:space="preserve">Листа на податоци и Листа за проверка </w:t>
      </w:r>
    </w:p>
    <w:p w14:paraId="06DA3D90" w14:textId="77777777" w:rsidR="00B16C23" w:rsidRPr="00AE2299" w:rsidRDefault="00B16C04" w:rsidP="00B16C23">
      <w:pPr>
        <w:jc w:val="center"/>
        <w:rPr>
          <w:b/>
          <w:color w:val="548DD4"/>
          <w:sz w:val="50"/>
          <w:szCs w:val="50"/>
          <w:lang w:val="it-IT"/>
        </w:rPr>
      </w:pPr>
      <w:r>
        <w:rPr>
          <w:rFonts w:cs="Calibri"/>
          <w:b/>
          <w:bCs/>
          <w:color w:val="548DD4"/>
          <w:sz w:val="50"/>
          <w:szCs w:val="50"/>
          <w:bdr w:val="nil"/>
          <w:lang w:val="mk-MK" w:bidi="mk-MK"/>
        </w:rPr>
        <w:t xml:space="preserve">Сектор: Големи постројки за согорување </w:t>
      </w:r>
    </w:p>
    <w:p w14:paraId="7D7865EC" w14:textId="77777777" w:rsidR="00B16C23" w:rsidRDefault="00B16C23" w:rsidP="00B16C23">
      <w:pPr>
        <w:spacing w:after="0"/>
        <w:jc w:val="center"/>
        <w:rPr>
          <w:i/>
          <w:sz w:val="32"/>
          <w:szCs w:val="32"/>
          <w:lang w:val="it-IT"/>
        </w:rPr>
      </w:pPr>
    </w:p>
    <w:p w14:paraId="0EEAF9CF" w14:textId="77777777" w:rsidR="00B16C23" w:rsidRPr="006E2B0A" w:rsidRDefault="00B16C04" w:rsidP="00B16C23">
      <w:pPr>
        <w:spacing w:after="0"/>
        <w:jc w:val="center"/>
        <w:rPr>
          <w:i/>
          <w:sz w:val="32"/>
          <w:szCs w:val="32"/>
          <w:lang w:val="it-IT"/>
        </w:rPr>
      </w:pPr>
      <w:r>
        <w:rPr>
          <w:rFonts w:cs="Calibri"/>
          <w:i/>
          <w:iCs/>
          <w:sz w:val="32"/>
          <w:szCs w:val="32"/>
          <w:bdr w:val="nil"/>
          <w:lang w:val="mk-MK" w:bidi="mk-MK"/>
        </w:rPr>
        <w:t>Проект MK-10-IB-EN-01</w:t>
      </w:r>
    </w:p>
    <w:p w14:paraId="677E4367" w14:textId="77777777" w:rsidR="00B16C23" w:rsidRPr="006E2B0A" w:rsidRDefault="00B16C04" w:rsidP="00B16C23">
      <w:pPr>
        <w:spacing w:after="0"/>
        <w:jc w:val="center"/>
        <w:rPr>
          <w:i/>
          <w:sz w:val="32"/>
          <w:szCs w:val="32"/>
          <w:lang w:val="it-IT"/>
        </w:rPr>
      </w:pPr>
      <w:r>
        <w:rPr>
          <w:rFonts w:cs="Calibri"/>
          <w:i/>
          <w:iCs/>
          <w:sz w:val="32"/>
          <w:szCs w:val="32"/>
          <w:bdr w:val="nil"/>
          <w:lang w:val="mk-MK" w:bidi="mk-MK"/>
        </w:rPr>
        <w:t>Активност бр: 1.2</w:t>
      </w:r>
    </w:p>
    <w:p w14:paraId="71ECB203" w14:textId="77777777" w:rsidR="00B16C23" w:rsidRDefault="00B16C23" w:rsidP="00B16C23">
      <w:pPr>
        <w:rPr>
          <w:sz w:val="28"/>
          <w:szCs w:val="28"/>
          <w:lang w:val="ro-RO"/>
        </w:rPr>
      </w:pPr>
    </w:p>
    <w:p w14:paraId="20761700" w14:textId="77777777" w:rsidR="00B16C23" w:rsidRDefault="00B16C23" w:rsidP="00B16C23">
      <w:pPr>
        <w:rPr>
          <w:sz w:val="28"/>
          <w:szCs w:val="28"/>
          <w:lang w:val="ro-RO"/>
        </w:rPr>
      </w:pPr>
    </w:p>
    <w:p w14:paraId="6D5D22DB" w14:textId="77777777" w:rsidR="00B16C23" w:rsidRDefault="00B16C04" w:rsidP="00B16C23">
      <w:pPr>
        <w:spacing w:after="0"/>
        <w:ind w:left="3828"/>
        <w:rPr>
          <w:sz w:val="28"/>
          <w:szCs w:val="28"/>
          <w:lang w:val="ro-RO"/>
        </w:rPr>
      </w:pPr>
      <w:r>
        <w:rPr>
          <w:rFonts w:cs="Calibri"/>
          <w:sz w:val="28"/>
          <w:szCs w:val="28"/>
          <w:bdr w:val="nil"/>
          <w:lang w:val="mk-MK" w:bidi="mk-MK"/>
        </w:rPr>
        <w:t>Подготвил:</w:t>
      </w:r>
    </w:p>
    <w:p w14:paraId="290F0CD1" w14:textId="078E0181" w:rsidR="00B16C23" w:rsidRPr="00455E18" w:rsidRDefault="00455E18" w:rsidP="00B16C23">
      <w:pPr>
        <w:spacing w:after="0"/>
        <w:ind w:left="4395"/>
        <w:rPr>
          <w:sz w:val="28"/>
          <w:szCs w:val="28"/>
          <w:lang w:val="it-IT"/>
        </w:rPr>
      </w:pPr>
      <w:r w:rsidRPr="00455E18">
        <w:rPr>
          <w:rFonts w:cs="Calibri"/>
          <w:sz w:val="28"/>
          <w:szCs w:val="28"/>
          <w:bdr w:val="nil"/>
          <w:lang w:val="it-IT" w:bidi="mk-MK"/>
        </w:rPr>
        <w:t>C</w:t>
      </w:r>
      <w:r>
        <w:rPr>
          <w:rFonts w:cs="Calibri"/>
          <w:sz w:val="28"/>
          <w:szCs w:val="28"/>
          <w:bdr w:val="nil"/>
          <w:lang w:val="it-IT" w:bidi="mk-MK"/>
        </w:rPr>
        <w:t>ees Braams</w:t>
      </w:r>
    </w:p>
    <w:p w14:paraId="416B7F13" w14:textId="77777777" w:rsidR="00B16C23" w:rsidRDefault="00B16C23" w:rsidP="00B16C23">
      <w:pPr>
        <w:rPr>
          <w:sz w:val="28"/>
          <w:szCs w:val="28"/>
          <w:lang w:val="ro-RO"/>
        </w:rPr>
      </w:pPr>
    </w:p>
    <w:p w14:paraId="53F6CAE0" w14:textId="77777777" w:rsidR="00B16C23" w:rsidRDefault="00B16C23" w:rsidP="00B16C23">
      <w:pPr>
        <w:jc w:val="center"/>
        <w:rPr>
          <w:sz w:val="28"/>
          <w:szCs w:val="28"/>
          <w:lang w:val="ro-RO"/>
        </w:rPr>
      </w:pPr>
    </w:p>
    <w:p w14:paraId="3DD1DE73" w14:textId="77777777" w:rsidR="00B16C23" w:rsidRDefault="00B16C04" w:rsidP="00B16C23">
      <w:pPr>
        <w:jc w:val="center"/>
        <w:rPr>
          <w:sz w:val="28"/>
          <w:szCs w:val="28"/>
          <w:lang w:val="ro-RO"/>
        </w:rPr>
      </w:pPr>
      <w:r>
        <w:rPr>
          <w:rFonts w:cs="Calibri"/>
          <w:sz w:val="28"/>
          <w:szCs w:val="28"/>
          <w:bdr w:val="nil"/>
          <w:lang w:val="mk-MK" w:bidi="mk-MK"/>
        </w:rPr>
        <w:t>Декември 2015</w:t>
      </w:r>
    </w:p>
    <w:p w14:paraId="374FAAE9" w14:textId="77777777" w:rsidR="00B16C23" w:rsidRDefault="00B16C23" w:rsidP="00B16C23">
      <w:pPr>
        <w:jc w:val="center"/>
        <w:rPr>
          <w:sz w:val="28"/>
          <w:szCs w:val="28"/>
          <w:lang w:val="ro-RO"/>
        </w:rPr>
      </w:pPr>
    </w:p>
    <w:p w14:paraId="065C6AEA" w14:textId="77777777" w:rsidR="00B16C23" w:rsidRDefault="00B16C23" w:rsidP="00B16C23">
      <w:pPr>
        <w:jc w:val="center"/>
        <w:rPr>
          <w:sz w:val="28"/>
          <w:szCs w:val="28"/>
          <w:lang w:val="ro-RO"/>
        </w:rPr>
      </w:pPr>
    </w:p>
    <w:p w14:paraId="227E4450" w14:textId="77777777" w:rsidR="00B16C23" w:rsidRDefault="00B16C23" w:rsidP="00B16C23">
      <w:pPr>
        <w:jc w:val="center"/>
        <w:rPr>
          <w:sz w:val="28"/>
          <w:szCs w:val="28"/>
          <w:lang w:val="ro-RO"/>
        </w:rPr>
      </w:pPr>
    </w:p>
    <w:p w14:paraId="610F7878" w14:textId="77777777" w:rsidR="00B16C23" w:rsidRDefault="00B16C23" w:rsidP="00B16C23">
      <w:pPr>
        <w:jc w:val="center"/>
        <w:rPr>
          <w:sz w:val="28"/>
          <w:szCs w:val="28"/>
          <w:lang w:val="ro-RO"/>
        </w:rPr>
      </w:pPr>
    </w:p>
    <w:p w14:paraId="298D7168" w14:textId="77777777" w:rsidR="00B16C23" w:rsidRDefault="00B16C23" w:rsidP="00B16C23">
      <w:pPr>
        <w:jc w:val="center"/>
        <w:rPr>
          <w:sz w:val="28"/>
          <w:szCs w:val="28"/>
          <w:lang w:val="ro-RO"/>
        </w:rPr>
      </w:pPr>
    </w:p>
    <w:p w14:paraId="32446625" w14:textId="77777777" w:rsidR="00B16C23" w:rsidRDefault="00B16C23" w:rsidP="00B16C23">
      <w:pPr>
        <w:jc w:val="center"/>
        <w:rPr>
          <w:sz w:val="28"/>
          <w:szCs w:val="28"/>
          <w:lang w:val="ro-RO"/>
        </w:rPr>
      </w:pPr>
    </w:p>
    <w:p w14:paraId="050F583C" w14:textId="77777777" w:rsidR="00B16C23" w:rsidRDefault="00B16C23" w:rsidP="00B16C23">
      <w:pPr>
        <w:jc w:val="center"/>
        <w:rPr>
          <w:sz w:val="28"/>
          <w:szCs w:val="28"/>
          <w:lang w:val="ro-RO"/>
        </w:rPr>
      </w:pPr>
    </w:p>
    <w:p w14:paraId="38B8B184" w14:textId="77777777" w:rsidR="00B16C23" w:rsidRDefault="00B16C23" w:rsidP="00B16C23">
      <w:pPr>
        <w:jc w:val="center"/>
        <w:rPr>
          <w:sz w:val="28"/>
          <w:szCs w:val="28"/>
          <w:lang w:val="ro-RO"/>
        </w:rPr>
      </w:pPr>
    </w:p>
    <w:p w14:paraId="207EE5E1" w14:textId="77777777" w:rsidR="00B16C23" w:rsidRPr="00623485" w:rsidRDefault="00B16C04" w:rsidP="00623485">
      <w:pPr>
        <w:pStyle w:val="Header"/>
        <w:jc w:val="left"/>
        <w:rPr>
          <w:rFonts w:asciiTheme="minorHAnsi" w:hAnsiTheme="minorHAnsi"/>
          <w:b/>
          <w:bCs/>
          <w:iCs/>
          <w:sz w:val="28"/>
          <w:szCs w:val="28"/>
        </w:rPr>
      </w:pPr>
      <w:r>
        <w:rPr>
          <w:rFonts w:ascii="Gill Sans MT" w:eastAsia="Gill Sans MT" w:hAnsi="Gill Sans MT" w:cs="Gill Sans MT"/>
          <w:b/>
          <w:bCs/>
          <w:sz w:val="28"/>
          <w:szCs w:val="28"/>
          <w:bdr w:val="nil"/>
          <w:lang w:val="mk-MK" w:bidi="mk-MK"/>
        </w:rPr>
        <w:br w:type="page"/>
      </w:r>
      <w:r w:rsidRPr="00623485">
        <w:rPr>
          <w:rFonts w:asciiTheme="minorHAnsi" w:eastAsia="Gill Sans MT" w:hAnsiTheme="minorHAnsi" w:cs="Gill Sans MT"/>
          <w:b/>
          <w:bCs/>
          <w:sz w:val="28"/>
          <w:szCs w:val="28"/>
          <w:bdr w:val="nil"/>
          <w:lang w:val="mk-MK" w:bidi="mk-MK"/>
        </w:rPr>
        <w:lastRenderedPageBreak/>
        <w:t xml:space="preserve">Листа на кратенки </w:t>
      </w:r>
    </w:p>
    <w:p w14:paraId="3F45A2CF" w14:textId="77777777" w:rsidR="00B16C23" w:rsidRPr="00623485" w:rsidRDefault="00B16C23" w:rsidP="00623485">
      <w:pPr>
        <w:pStyle w:val="Default"/>
        <w:rPr>
          <w:rFonts w:asciiTheme="minorHAnsi" w:hAnsiTheme="minorHAnsi"/>
        </w:rPr>
      </w:pPr>
    </w:p>
    <w:tbl>
      <w:tblPr>
        <w:tblW w:w="10207" w:type="dxa"/>
        <w:tblInd w:w="-176" w:type="dxa"/>
        <w:tblLayout w:type="fixed"/>
        <w:tblLook w:val="0000" w:firstRow="0" w:lastRow="0" w:firstColumn="0" w:lastColumn="0" w:noHBand="0" w:noVBand="0"/>
      </w:tblPr>
      <w:tblGrid>
        <w:gridCol w:w="1844"/>
        <w:gridCol w:w="8363"/>
      </w:tblGrid>
      <w:tr w:rsidR="00E029FF" w:rsidRPr="00623485" w14:paraId="6C24D297" w14:textId="77777777" w:rsidTr="00623485">
        <w:trPr>
          <w:trHeight w:val="109"/>
        </w:trPr>
        <w:tc>
          <w:tcPr>
            <w:tcW w:w="1844" w:type="dxa"/>
          </w:tcPr>
          <w:p w14:paraId="6D83B045"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НДТ</w:t>
            </w:r>
          </w:p>
        </w:tc>
        <w:tc>
          <w:tcPr>
            <w:tcW w:w="8363" w:type="dxa"/>
          </w:tcPr>
          <w:p w14:paraId="700E356F"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Најдобри достапни техники </w:t>
            </w:r>
          </w:p>
        </w:tc>
      </w:tr>
      <w:tr w:rsidR="00E029FF" w:rsidRPr="00623485" w14:paraId="25D6A12D" w14:textId="77777777" w:rsidTr="00623485">
        <w:trPr>
          <w:trHeight w:val="109"/>
        </w:trPr>
        <w:tc>
          <w:tcPr>
            <w:tcW w:w="1844" w:type="dxa"/>
          </w:tcPr>
          <w:p w14:paraId="5BAFE104"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НЕ-НДТ</w:t>
            </w:r>
          </w:p>
        </w:tc>
        <w:tc>
          <w:tcPr>
            <w:tcW w:w="8363" w:type="dxa"/>
          </w:tcPr>
          <w:p w14:paraId="05584188" w14:textId="77777777" w:rsidR="00B16C23" w:rsidRPr="0073169A"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Нивоа на емисии при НДТ </w:t>
            </w:r>
          </w:p>
        </w:tc>
      </w:tr>
      <w:tr w:rsidR="00E029FF" w:rsidRPr="00623485" w14:paraId="242367CD" w14:textId="77777777" w:rsidTr="00623485">
        <w:trPr>
          <w:trHeight w:val="109"/>
        </w:trPr>
        <w:tc>
          <w:tcPr>
            <w:tcW w:w="1844" w:type="dxa"/>
          </w:tcPr>
          <w:p w14:paraId="35F1F99D" w14:textId="6211AF3D" w:rsidR="00B16C23" w:rsidRPr="00623485" w:rsidRDefault="003528C6"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БРЕФ</w:t>
            </w:r>
            <w:r w:rsidR="00B16C04" w:rsidRPr="00623485">
              <w:rPr>
                <w:rFonts w:asciiTheme="minorHAnsi" w:eastAsia="Gill Sans MT" w:hAnsiTheme="minorHAnsi" w:cs="Gill Sans MT"/>
                <w:szCs w:val="24"/>
                <w:bdr w:val="nil"/>
                <w:lang w:val="mk-MK" w:bidi="mk-MK"/>
              </w:rPr>
              <w:t xml:space="preserve">  </w:t>
            </w:r>
          </w:p>
        </w:tc>
        <w:tc>
          <w:tcPr>
            <w:tcW w:w="8363" w:type="dxa"/>
          </w:tcPr>
          <w:p w14:paraId="1F01D3B4" w14:textId="77777777" w:rsidR="00B16C23" w:rsidRPr="0073169A"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Референтен документ за Најдобри достапни техники </w:t>
            </w:r>
          </w:p>
        </w:tc>
      </w:tr>
      <w:tr w:rsidR="00E029FF" w:rsidRPr="00623485" w14:paraId="19A8A4F3" w14:textId="77777777" w:rsidTr="00623485">
        <w:trPr>
          <w:trHeight w:val="109"/>
        </w:trPr>
        <w:tc>
          <w:tcPr>
            <w:tcW w:w="1844" w:type="dxa"/>
          </w:tcPr>
          <w:p w14:paraId="7D51DAEB"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ГТКЦ </w:t>
            </w:r>
          </w:p>
        </w:tc>
        <w:tc>
          <w:tcPr>
            <w:tcW w:w="8363" w:type="dxa"/>
          </w:tcPr>
          <w:p w14:paraId="48485318" w14:textId="77777777" w:rsidR="00B16C23" w:rsidRPr="0073169A"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Гасна турбина со комбиниран циклус </w:t>
            </w:r>
          </w:p>
        </w:tc>
      </w:tr>
      <w:tr w:rsidR="00E029FF" w:rsidRPr="00623485" w14:paraId="489C924A" w14:textId="77777777" w:rsidTr="00623485">
        <w:trPr>
          <w:trHeight w:val="109"/>
        </w:trPr>
        <w:tc>
          <w:tcPr>
            <w:tcW w:w="1844" w:type="dxa"/>
          </w:tcPr>
          <w:p w14:paraId="75CCC0F6"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КГТЕЕ </w:t>
            </w:r>
          </w:p>
        </w:tc>
        <w:tc>
          <w:tcPr>
            <w:tcW w:w="8363" w:type="dxa"/>
          </w:tcPr>
          <w:p w14:paraId="4B139088" w14:textId="77777777" w:rsidR="00B16C23" w:rsidRPr="0073169A"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Когенерација на топлинска и на електрична енергија </w:t>
            </w:r>
          </w:p>
        </w:tc>
      </w:tr>
      <w:tr w:rsidR="00E029FF" w:rsidRPr="00623485" w14:paraId="7CF79EE3" w14:textId="77777777" w:rsidTr="00623485">
        <w:trPr>
          <w:trHeight w:val="109"/>
        </w:trPr>
        <w:tc>
          <w:tcPr>
            <w:tcW w:w="1844" w:type="dxa"/>
          </w:tcPr>
          <w:p w14:paraId="39A4F567"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КСД </w:t>
            </w:r>
          </w:p>
        </w:tc>
        <w:tc>
          <w:tcPr>
            <w:tcW w:w="8363" w:type="dxa"/>
          </w:tcPr>
          <w:p w14:paraId="08674611" w14:textId="77777777" w:rsidR="00B16C23" w:rsidRPr="00623485" w:rsidRDefault="00B16C04" w:rsidP="00623485">
            <w:pPr>
              <w:pStyle w:val="Default"/>
              <w:spacing w:line="360" w:lineRule="auto"/>
              <w:rPr>
                <w:rFonts w:asciiTheme="minorHAnsi" w:hAnsiTheme="minorHAnsi"/>
                <w:lang w:val="fr-FR"/>
              </w:rPr>
            </w:pPr>
            <w:r w:rsidRPr="00623485">
              <w:rPr>
                <w:rFonts w:asciiTheme="minorHAnsi" w:eastAsia="Gill Sans MT" w:hAnsiTheme="minorHAnsi" w:cs="Gill Sans MT"/>
                <w:szCs w:val="24"/>
                <w:bdr w:val="nil"/>
                <w:lang w:val="mk-MK" w:bidi="mk-MK"/>
              </w:rPr>
              <w:t xml:space="preserve">Котел со суво дно </w:t>
            </w:r>
          </w:p>
        </w:tc>
      </w:tr>
      <w:tr w:rsidR="00E029FF" w:rsidRPr="00623485" w14:paraId="319C3FCA" w14:textId="77777777" w:rsidTr="00623485">
        <w:trPr>
          <w:trHeight w:val="109"/>
        </w:trPr>
        <w:tc>
          <w:tcPr>
            <w:tcW w:w="1844" w:type="dxa"/>
          </w:tcPr>
          <w:p w14:paraId="42976AD1"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ЕК </w:t>
            </w:r>
          </w:p>
        </w:tc>
        <w:tc>
          <w:tcPr>
            <w:tcW w:w="8363" w:type="dxa"/>
          </w:tcPr>
          <w:p w14:paraId="45E9B39C"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Европска Комисија </w:t>
            </w:r>
          </w:p>
        </w:tc>
      </w:tr>
      <w:tr w:rsidR="00E029FF" w:rsidRPr="00623485" w14:paraId="3886A67F" w14:textId="77777777" w:rsidTr="00623485">
        <w:trPr>
          <w:trHeight w:val="109"/>
        </w:trPr>
        <w:tc>
          <w:tcPr>
            <w:tcW w:w="1844" w:type="dxa"/>
          </w:tcPr>
          <w:p w14:paraId="5247F33C"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ТНГ</w:t>
            </w:r>
          </w:p>
        </w:tc>
        <w:tc>
          <w:tcPr>
            <w:tcW w:w="8363" w:type="dxa"/>
          </w:tcPr>
          <w:p w14:paraId="2D4B303F"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Тешко гориво </w:t>
            </w:r>
          </w:p>
        </w:tc>
      </w:tr>
      <w:tr w:rsidR="00E029FF" w:rsidRPr="00623485" w14:paraId="57819A7C" w14:textId="77777777" w:rsidTr="00623485">
        <w:trPr>
          <w:trHeight w:val="109"/>
        </w:trPr>
        <w:tc>
          <w:tcPr>
            <w:tcW w:w="1844" w:type="dxa"/>
          </w:tcPr>
          <w:p w14:paraId="20AE262A"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ДИЕ</w:t>
            </w:r>
          </w:p>
        </w:tc>
        <w:tc>
          <w:tcPr>
            <w:tcW w:w="8363" w:type="dxa"/>
          </w:tcPr>
          <w:p w14:paraId="53FACC6F"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Директива за индустриски емисии 2010/75/ЕУ</w:t>
            </w:r>
          </w:p>
        </w:tc>
      </w:tr>
      <w:tr w:rsidR="00E029FF" w:rsidRPr="00623485" w14:paraId="1371BAB6" w14:textId="77777777" w:rsidTr="00623485">
        <w:trPr>
          <w:trHeight w:val="109"/>
        </w:trPr>
        <w:tc>
          <w:tcPr>
            <w:tcW w:w="1844" w:type="dxa"/>
          </w:tcPr>
          <w:p w14:paraId="221070EC"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КЦИГ</w:t>
            </w:r>
          </w:p>
        </w:tc>
        <w:tc>
          <w:tcPr>
            <w:tcW w:w="8363" w:type="dxa"/>
          </w:tcPr>
          <w:p w14:paraId="6BC8DA75" w14:textId="5745DB31"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Комбиниран циклус на интегрирана гасификаци</w:t>
            </w:r>
            <w:r w:rsidR="00EA3279" w:rsidRPr="00623485">
              <w:rPr>
                <w:rFonts w:asciiTheme="minorHAnsi" w:eastAsia="Gill Sans MT" w:hAnsiTheme="minorHAnsi" w:cs="Gill Sans MT"/>
                <w:szCs w:val="24"/>
                <w:bdr w:val="nil"/>
                <w:lang w:val="mk-MK" w:bidi="mk-MK"/>
              </w:rPr>
              <w:t>ј</w:t>
            </w:r>
            <w:r w:rsidRPr="00623485">
              <w:rPr>
                <w:rFonts w:asciiTheme="minorHAnsi" w:eastAsia="Gill Sans MT" w:hAnsiTheme="minorHAnsi" w:cs="Gill Sans MT"/>
                <w:szCs w:val="24"/>
                <w:bdr w:val="nil"/>
                <w:lang w:val="mk-MK" w:bidi="mk-MK"/>
              </w:rPr>
              <w:t xml:space="preserve">а </w:t>
            </w:r>
          </w:p>
        </w:tc>
      </w:tr>
      <w:tr w:rsidR="00E029FF" w:rsidRPr="00623485" w14:paraId="5EB8B306" w14:textId="77777777" w:rsidTr="00623485">
        <w:trPr>
          <w:trHeight w:val="109"/>
        </w:trPr>
        <w:tc>
          <w:tcPr>
            <w:tcW w:w="1844" w:type="dxa"/>
          </w:tcPr>
          <w:p w14:paraId="0D148381"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ИСКЗ </w:t>
            </w:r>
          </w:p>
        </w:tc>
        <w:tc>
          <w:tcPr>
            <w:tcW w:w="8363" w:type="dxa"/>
          </w:tcPr>
          <w:p w14:paraId="6705A5DB"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Интегрирано спречување и контрола на загадувањето  </w:t>
            </w:r>
          </w:p>
        </w:tc>
      </w:tr>
      <w:tr w:rsidR="00E029FF" w:rsidRPr="00623485" w14:paraId="7E1096E6" w14:textId="77777777" w:rsidTr="00623485">
        <w:trPr>
          <w:trHeight w:val="109"/>
        </w:trPr>
        <w:tc>
          <w:tcPr>
            <w:tcW w:w="1844" w:type="dxa"/>
          </w:tcPr>
          <w:p w14:paraId="6EB8DFAB"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ГПС</w:t>
            </w:r>
          </w:p>
        </w:tc>
        <w:tc>
          <w:tcPr>
            <w:tcW w:w="8363" w:type="dxa"/>
          </w:tcPr>
          <w:p w14:paraId="456991F1"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Голема постројка за согорување </w:t>
            </w:r>
          </w:p>
        </w:tc>
      </w:tr>
      <w:tr w:rsidR="00E029FF" w:rsidRPr="00623485" w14:paraId="29B7ECCC" w14:textId="77777777" w:rsidTr="00623485">
        <w:trPr>
          <w:trHeight w:val="109"/>
        </w:trPr>
        <w:tc>
          <w:tcPr>
            <w:tcW w:w="1844" w:type="dxa"/>
          </w:tcPr>
          <w:p w14:paraId="5D79F947"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ЛНГ</w:t>
            </w:r>
          </w:p>
        </w:tc>
        <w:tc>
          <w:tcPr>
            <w:tcW w:w="8363" w:type="dxa"/>
          </w:tcPr>
          <w:p w14:paraId="2B5CFF39"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Лесно гориво </w:t>
            </w:r>
          </w:p>
        </w:tc>
      </w:tr>
      <w:tr w:rsidR="00E029FF" w:rsidRPr="00623485" w14:paraId="1BA2E8F3" w14:textId="77777777" w:rsidTr="00623485">
        <w:trPr>
          <w:trHeight w:val="109"/>
        </w:trPr>
        <w:tc>
          <w:tcPr>
            <w:tcW w:w="1844" w:type="dxa"/>
          </w:tcPr>
          <w:p w14:paraId="100425B4"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ПХДД</w:t>
            </w:r>
          </w:p>
        </w:tc>
        <w:tc>
          <w:tcPr>
            <w:tcW w:w="8363" w:type="dxa"/>
          </w:tcPr>
          <w:p w14:paraId="0A272AD5"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Полихлоринирано дибензо диоксини </w:t>
            </w:r>
          </w:p>
        </w:tc>
      </w:tr>
      <w:tr w:rsidR="00E029FF" w:rsidRPr="00623485" w14:paraId="1CB98DC7" w14:textId="77777777" w:rsidTr="00623485">
        <w:trPr>
          <w:trHeight w:val="109"/>
        </w:trPr>
        <w:tc>
          <w:tcPr>
            <w:tcW w:w="1844" w:type="dxa"/>
          </w:tcPr>
          <w:p w14:paraId="53CF7543"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ИОЈ</w:t>
            </w:r>
          </w:p>
        </w:tc>
        <w:tc>
          <w:tcPr>
            <w:tcW w:w="8363" w:type="dxa"/>
          </w:tcPr>
          <w:p w14:paraId="58D27403"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Испарлив органски јаглерод </w:t>
            </w:r>
          </w:p>
        </w:tc>
      </w:tr>
      <w:tr w:rsidR="00E029FF" w:rsidRPr="00623485" w14:paraId="77F4FE50" w14:textId="77777777" w:rsidTr="00623485">
        <w:trPr>
          <w:trHeight w:val="109"/>
        </w:trPr>
        <w:tc>
          <w:tcPr>
            <w:tcW w:w="1844" w:type="dxa"/>
          </w:tcPr>
          <w:p w14:paraId="1580DA58"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СКН</w:t>
            </w:r>
          </w:p>
        </w:tc>
        <w:tc>
          <w:tcPr>
            <w:tcW w:w="8363" w:type="dxa"/>
          </w:tcPr>
          <w:p w14:paraId="0B452DA6"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Селективно каталитичко намалување  </w:t>
            </w:r>
          </w:p>
        </w:tc>
      </w:tr>
      <w:tr w:rsidR="00E029FF" w:rsidRPr="00623485" w14:paraId="138B6AF5" w14:textId="77777777" w:rsidTr="00623485">
        <w:trPr>
          <w:trHeight w:val="109"/>
        </w:trPr>
        <w:tc>
          <w:tcPr>
            <w:tcW w:w="1844" w:type="dxa"/>
          </w:tcPr>
          <w:p w14:paraId="0CCD2812"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СНКН</w:t>
            </w:r>
          </w:p>
        </w:tc>
        <w:tc>
          <w:tcPr>
            <w:tcW w:w="8363" w:type="dxa"/>
          </w:tcPr>
          <w:p w14:paraId="3586E852"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Селективно некаталитичко намалување  </w:t>
            </w:r>
          </w:p>
        </w:tc>
      </w:tr>
      <w:tr w:rsidR="00E029FF" w:rsidRPr="00623485" w14:paraId="48004BEB" w14:textId="77777777" w:rsidTr="00623485">
        <w:trPr>
          <w:trHeight w:val="109"/>
        </w:trPr>
        <w:tc>
          <w:tcPr>
            <w:tcW w:w="1844" w:type="dxa"/>
          </w:tcPr>
          <w:p w14:paraId="6692F252"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ВОЈ </w:t>
            </w:r>
          </w:p>
        </w:tc>
        <w:tc>
          <w:tcPr>
            <w:tcW w:w="8363" w:type="dxa"/>
          </w:tcPr>
          <w:p w14:paraId="2E673245" w14:textId="77777777" w:rsidR="00B16C23" w:rsidRPr="00623485" w:rsidRDefault="00B16C04" w:rsidP="00623485">
            <w:pPr>
              <w:pStyle w:val="Default"/>
              <w:spacing w:line="360" w:lineRule="auto"/>
              <w:rPr>
                <w:rFonts w:asciiTheme="minorHAnsi" w:hAnsiTheme="minorHAnsi"/>
              </w:rPr>
            </w:pPr>
            <w:r w:rsidRPr="00623485">
              <w:rPr>
                <w:rFonts w:asciiTheme="minorHAnsi" w:eastAsia="Gill Sans MT" w:hAnsiTheme="minorHAnsi" w:cs="Gill Sans MT"/>
                <w:szCs w:val="24"/>
                <w:bdr w:val="nil"/>
                <w:lang w:val="mk-MK" w:bidi="mk-MK"/>
              </w:rPr>
              <w:t xml:space="preserve">Вкупен органски јаглерод </w:t>
            </w:r>
          </w:p>
        </w:tc>
      </w:tr>
    </w:tbl>
    <w:p w14:paraId="4E6D61D1" w14:textId="77777777" w:rsidR="00B16C23" w:rsidRPr="002F73DF" w:rsidRDefault="00B16C23" w:rsidP="00B16C23">
      <w:pPr>
        <w:jc w:val="center"/>
        <w:rPr>
          <w:sz w:val="28"/>
          <w:szCs w:val="28"/>
        </w:rPr>
      </w:pPr>
    </w:p>
    <w:p w14:paraId="554E7AE5" w14:textId="77777777" w:rsidR="00B16C23" w:rsidRDefault="00B16C04" w:rsidP="00B16C23">
      <w:pPr>
        <w:rPr>
          <w:lang w:val="ro-RO"/>
        </w:rPr>
      </w:pPr>
      <w:r>
        <w:rPr>
          <w:lang w:val="ro-RO"/>
        </w:rPr>
        <w:br w:type="page"/>
      </w:r>
    </w:p>
    <w:p w14:paraId="3ECD9994" w14:textId="77777777" w:rsidR="00B16C23" w:rsidRDefault="00B16C04">
      <w:pPr>
        <w:pStyle w:val="TOCHeading"/>
      </w:pPr>
      <w:r>
        <w:rPr>
          <w:rFonts w:eastAsia="Calibri Light" w:cs="Calibri Light"/>
          <w:bdr w:val="nil"/>
          <w:lang w:val="mk-MK" w:bidi="mk-MK"/>
        </w:rPr>
        <w:lastRenderedPageBreak/>
        <w:t xml:space="preserve">Содржина </w:t>
      </w:r>
    </w:p>
    <w:p w14:paraId="5FCEF567" w14:textId="77777777" w:rsidR="0073169A" w:rsidRDefault="00B16C04">
      <w:pPr>
        <w:pStyle w:val="TOC1"/>
        <w:rPr>
          <w:rFonts w:asciiTheme="minorHAnsi" w:eastAsiaTheme="minorEastAsia" w:hAnsiTheme="minorHAnsi" w:cstheme="minorBidi"/>
          <w:b w:val="0"/>
          <w:noProof/>
          <w:sz w:val="22"/>
          <w:szCs w:val="22"/>
          <w:lang w:val="es-ES" w:eastAsia="es-ES"/>
        </w:rPr>
      </w:pPr>
      <w:r>
        <w:rPr>
          <w:b w:val="0"/>
        </w:rPr>
        <w:fldChar w:fldCharType="begin"/>
      </w:r>
      <w:r>
        <w:rPr>
          <w:b w:val="0"/>
        </w:rPr>
        <w:instrText xml:space="preserve"> TOC \o "1-4" \h \z \u </w:instrText>
      </w:r>
      <w:r>
        <w:rPr>
          <w:b w:val="0"/>
        </w:rPr>
        <w:fldChar w:fldCharType="separate"/>
      </w:r>
      <w:hyperlink w:anchor="_Toc444009815" w:history="1">
        <w:r w:rsidR="0073169A" w:rsidRPr="00775795">
          <w:rPr>
            <w:rStyle w:val="Hyperlink"/>
            <w:noProof/>
            <w:lang w:val="ro-RO"/>
          </w:rPr>
          <w:t>1.</w:t>
        </w:r>
        <w:r w:rsidR="0073169A">
          <w:rPr>
            <w:rFonts w:asciiTheme="minorHAnsi" w:eastAsiaTheme="minorEastAsia" w:hAnsiTheme="minorHAnsi" w:cstheme="minorBidi"/>
            <w:b w:val="0"/>
            <w:noProof/>
            <w:sz w:val="22"/>
            <w:szCs w:val="22"/>
            <w:lang w:val="es-ES" w:eastAsia="es-ES"/>
          </w:rPr>
          <w:tab/>
        </w:r>
        <w:r w:rsidR="0073169A" w:rsidRPr="00775795">
          <w:rPr>
            <w:rStyle w:val="Hyperlink"/>
            <w:rFonts w:eastAsia="Calibri" w:cs="Calibri"/>
            <w:iCs/>
            <w:noProof/>
            <w:bdr w:val="nil"/>
            <w:lang w:val="mk-MK" w:bidi="mk-MK"/>
          </w:rPr>
          <w:t>Вовед</w:t>
        </w:r>
        <w:r w:rsidR="0073169A">
          <w:rPr>
            <w:noProof/>
            <w:webHidden/>
          </w:rPr>
          <w:tab/>
        </w:r>
        <w:r w:rsidR="0073169A">
          <w:rPr>
            <w:noProof/>
            <w:webHidden/>
          </w:rPr>
          <w:fldChar w:fldCharType="begin"/>
        </w:r>
        <w:r w:rsidR="0073169A">
          <w:rPr>
            <w:noProof/>
            <w:webHidden/>
          </w:rPr>
          <w:instrText xml:space="preserve"> PAGEREF _Toc444009815 \h </w:instrText>
        </w:r>
        <w:r w:rsidR="0073169A">
          <w:rPr>
            <w:noProof/>
            <w:webHidden/>
          </w:rPr>
        </w:r>
        <w:r w:rsidR="0073169A">
          <w:rPr>
            <w:noProof/>
            <w:webHidden/>
          </w:rPr>
          <w:fldChar w:fldCharType="separate"/>
        </w:r>
        <w:r w:rsidR="0073169A">
          <w:rPr>
            <w:noProof/>
            <w:webHidden/>
          </w:rPr>
          <w:t>5</w:t>
        </w:r>
        <w:r w:rsidR="0073169A">
          <w:rPr>
            <w:noProof/>
            <w:webHidden/>
          </w:rPr>
          <w:fldChar w:fldCharType="end"/>
        </w:r>
      </w:hyperlink>
    </w:p>
    <w:p w14:paraId="21A94876"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16" w:history="1">
        <w:r w:rsidR="0073169A" w:rsidRPr="00775795">
          <w:rPr>
            <w:rStyle w:val="Hyperlink"/>
            <w:noProof/>
            <w:lang w:val="mk-MK"/>
          </w:rPr>
          <w:t>2.</w:t>
        </w:r>
        <w:r w:rsidR="0073169A">
          <w:rPr>
            <w:rFonts w:asciiTheme="minorHAnsi" w:eastAsiaTheme="minorEastAsia" w:hAnsiTheme="minorHAnsi" w:cstheme="minorBidi"/>
            <w:b w:val="0"/>
            <w:noProof/>
            <w:sz w:val="22"/>
            <w:szCs w:val="22"/>
            <w:lang w:val="es-ES" w:eastAsia="es-ES"/>
          </w:rPr>
          <w:tab/>
        </w:r>
        <w:r w:rsidR="0073169A" w:rsidRPr="00775795">
          <w:rPr>
            <w:rStyle w:val="Hyperlink"/>
            <w:rFonts w:eastAsia="Calibri" w:cs="Calibri"/>
            <w:iCs/>
            <w:noProof/>
            <w:bdr w:val="nil"/>
            <w:lang w:val="mk-MK" w:bidi="mk-MK"/>
          </w:rPr>
          <w:t>Што се големи постројки/инсталации за согорување?</w:t>
        </w:r>
        <w:r w:rsidR="0073169A">
          <w:rPr>
            <w:noProof/>
            <w:webHidden/>
          </w:rPr>
          <w:tab/>
        </w:r>
        <w:r w:rsidR="0073169A">
          <w:rPr>
            <w:noProof/>
            <w:webHidden/>
          </w:rPr>
          <w:fldChar w:fldCharType="begin"/>
        </w:r>
        <w:r w:rsidR="0073169A">
          <w:rPr>
            <w:noProof/>
            <w:webHidden/>
          </w:rPr>
          <w:instrText xml:space="preserve"> PAGEREF _Toc444009816 \h </w:instrText>
        </w:r>
        <w:r w:rsidR="0073169A">
          <w:rPr>
            <w:noProof/>
            <w:webHidden/>
          </w:rPr>
        </w:r>
        <w:r w:rsidR="0073169A">
          <w:rPr>
            <w:noProof/>
            <w:webHidden/>
          </w:rPr>
          <w:fldChar w:fldCharType="separate"/>
        </w:r>
        <w:r w:rsidR="0073169A">
          <w:rPr>
            <w:noProof/>
            <w:webHidden/>
          </w:rPr>
          <w:t>5</w:t>
        </w:r>
        <w:r w:rsidR="0073169A">
          <w:rPr>
            <w:noProof/>
            <w:webHidden/>
          </w:rPr>
          <w:fldChar w:fldCharType="end"/>
        </w:r>
      </w:hyperlink>
    </w:p>
    <w:p w14:paraId="764D9AC0"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19" w:history="1">
        <w:r w:rsidR="0073169A" w:rsidRPr="00775795">
          <w:rPr>
            <w:rStyle w:val="Hyperlink"/>
            <w:noProof/>
            <w:lang w:val="ro-RO"/>
          </w:rPr>
          <w:t>2.1.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Процес на производство</w:t>
        </w:r>
        <w:r w:rsidR="0073169A">
          <w:rPr>
            <w:noProof/>
            <w:webHidden/>
          </w:rPr>
          <w:tab/>
        </w:r>
        <w:r w:rsidR="0073169A">
          <w:rPr>
            <w:noProof/>
            <w:webHidden/>
          </w:rPr>
          <w:fldChar w:fldCharType="begin"/>
        </w:r>
        <w:r w:rsidR="0073169A">
          <w:rPr>
            <w:noProof/>
            <w:webHidden/>
          </w:rPr>
          <w:instrText xml:space="preserve"> PAGEREF _Toc444009819 \h </w:instrText>
        </w:r>
        <w:r w:rsidR="0073169A">
          <w:rPr>
            <w:noProof/>
            <w:webHidden/>
          </w:rPr>
        </w:r>
        <w:r w:rsidR="0073169A">
          <w:rPr>
            <w:noProof/>
            <w:webHidden/>
          </w:rPr>
          <w:fldChar w:fldCharType="separate"/>
        </w:r>
        <w:r w:rsidR="0073169A">
          <w:rPr>
            <w:noProof/>
            <w:webHidden/>
          </w:rPr>
          <w:t>5</w:t>
        </w:r>
        <w:r w:rsidR="0073169A">
          <w:rPr>
            <w:noProof/>
            <w:webHidden/>
          </w:rPr>
          <w:fldChar w:fldCharType="end"/>
        </w:r>
      </w:hyperlink>
    </w:p>
    <w:p w14:paraId="1A36A752"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20" w:history="1">
        <w:r w:rsidR="0073169A" w:rsidRPr="00775795">
          <w:rPr>
            <w:rStyle w:val="Hyperlink"/>
            <w:noProof/>
          </w:rPr>
          <w:t>2.1.1.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Согорување на лигнит</w:t>
        </w:r>
        <w:r w:rsidR="0073169A">
          <w:rPr>
            <w:noProof/>
            <w:webHidden/>
          </w:rPr>
          <w:tab/>
        </w:r>
        <w:r w:rsidR="0073169A">
          <w:rPr>
            <w:noProof/>
            <w:webHidden/>
          </w:rPr>
          <w:fldChar w:fldCharType="begin"/>
        </w:r>
        <w:r w:rsidR="0073169A">
          <w:rPr>
            <w:noProof/>
            <w:webHidden/>
          </w:rPr>
          <w:instrText xml:space="preserve"> PAGEREF _Toc444009820 \h </w:instrText>
        </w:r>
        <w:r w:rsidR="0073169A">
          <w:rPr>
            <w:noProof/>
            <w:webHidden/>
          </w:rPr>
        </w:r>
        <w:r w:rsidR="0073169A">
          <w:rPr>
            <w:noProof/>
            <w:webHidden/>
          </w:rPr>
          <w:fldChar w:fldCharType="separate"/>
        </w:r>
        <w:r w:rsidR="0073169A">
          <w:rPr>
            <w:noProof/>
            <w:webHidden/>
          </w:rPr>
          <w:t>6</w:t>
        </w:r>
        <w:r w:rsidR="0073169A">
          <w:rPr>
            <w:noProof/>
            <w:webHidden/>
          </w:rPr>
          <w:fldChar w:fldCharType="end"/>
        </w:r>
      </w:hyperlink>
    </w:p>
    <w:p w14:paraId="3DBDBA19"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21" w:history="1">
        <w:r w:rsidR="0073169A" w:rsidRPr="00775795">
          <w:rPr>
            <w:rStyle w:val="Hyperlink"/>
            <w:noProof/>
            <w:lang w:val="ro-RO"/>
          </w:rPr>
          <w:t>2.1.2.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Согорување на гас или течно гориво (нафта)</w:t>
        </w:r>
        <w:r w:rsidR="0073169A">
          <w:rPr>
            <w:noProof/>
            <w:webHidden/>
          </w:rPr>
          <w:tab/>
        </w:r>
        <w:r w:rsidR="0073169A">
          <w:rPr>
            <w:noProof/>
            <w:webHidden/>
          </w:rPr>
          <w:fldChar w:fldCharType="begin"/>
        </w:r>
        <w:r w:rsidR="0073169A">
          <w:rPr>
            <w:noProof/>
            <w:webHidden/>
          </w:rPr>
          <w:instrText xml:space="preserve"> PAGEREF _Toc444009821 \h </w:instrText>
        </w:r>
        <w:r w:rsidR="0073169A">
          <w:rPr>
            <w:noProof/>
            <w:webHidden/>
          </w:rPr>
        </w:r>
        <w:r w:rsidR="0073169A">
          <w:rPr>
            <w:noProof/>
            <w:webHidden/>
          </w:rPr>
          <w:fldChar w:fldCharType="separate"/>
        </w:r>
        <w:r w:rsidR="0073169A">
          <w:rPr>
            <w:noProof/>
            <w:webHidden/>
          </w:rPr>
          <w:t>7</w:t>
        </w:r>
        <w:r w:rsidR="0073169A">
          <w:rPr>
            <w:noProof/>
            <w:webHidden/>
          </w:rPr>
          <w:fldChar w:fldCharType="end"/>
        </w:r>
      </w:hyperlink>
    </w:p>
    <w:p w14:paraId="32992B99"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22" w:history="1">
        <w:r w:rsidR="0073169A" w:rsidRPr="00775795">
          <w:rPr>
            <w:rStyle w:val="Hyperlink"/>
            <w:noProof/>
            <w:lang w:val="ro-RO"/>
          </w:rPr>
          <w:t>2.2.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Дијаграм на процесот на производство</w:t>
        </w:r>
        <w:r w:rsidR="0073169A">
          <w:rPr>
            <w:noProof/>
            <w:webHidden/>
          </w:rPr>
          <w:tab/>
        </w:r>
        <w:r w:rsidR="0073169A">
          <w:rPr>
            <w:noProof/>
            <w:webHidden/>
          </w:rPr>
          <w:fldChar w:fldCharType="begin"/>
        </w:r>
        <w:r w:rsidR="0073169A">
          <w:rPr>
            <w:noProof/>
            <w:webHidden/>
          </w:rPr>
          <w:instrText xml:space="preserve"> PAGEREF _Toc444009822 \h </w:instrText>
        </w:r>
        <w:r w:rsidR="0073169A">
          <w:rPr>
            <w:noProof/>
            <w:webHidden/>
          </w:rPr>
        </w:r>
        <w:r w:rsidR="0073169A">
          <w:rPr>
            <w:noProof/>
            <w:webHidden/>
          </w:rPr>
          <w:fldChar w:fldCharType="separate"/>
        </w:r>
        <w:r w:rsidR="0073169A">
          <w:rPr>
            <w:noProof/>
            <w:webHidden/>
          </w:rPr>
          <w:t>7</w:t>
        </w:r>
        <w:r w:rsidR="0073169A">
          <w:rPr>
            <w:noProof/>
            <w:webHidden/>
          </w:rPr>
          <w:fldChar w:fldCharType="end"/>
        </w:r>
      </w:hyperlink>
    </w:p>
    <w:p w14:paraId="392A503E"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23" w:history="1">
        <w:r w:rsidR="0073169A" w:rsidRPr="00775795">
          <w:rPr>
            <w:rStyle w:val="Hyperlink"/>
            <w:noProof/>
            <w:lang w:val="ro-RO"/>
          </w:rPr>
          <w:t>3.</w:t>
        </w:r>
        <w:r w:rsidR="0073169A">
          <w:rPr>
            <w:rFonts w:asciiTheme="minorHAnsi" w:eastAsiaTheme="minorEastAsia" w:hAnsiTheme="minorHAnsi" w:cstheme="minorBidi"/>
            <w:b w:val="0"/>
            <w:noProof/>
            <w:sz w:val="22"/>
            <w:szCs w:val="22"/>
            <w:lang w:val="es-ES" w:eastAsia="es-ES"/>
          </w:rPr>
          <w:tab/>
        </w:r>
        <w:r w:rsidR="0073169A" w:rsidRPr="00775795">
          <w:rPr>
            <w:rStyle w:val="Hyperlink"/>
            <w:rFonts w:eastAsia="Calibri" w:cs="Calibri"/>
            <w:iCs/>
            <w:noProof/>
            <w:bdr w:val="nil"/>
            <w:lang w:val="mk-MK" w:bidi="mk-MK"/>
          </w:rPr>
          <w:t>Краток опис на секторот во Република Македонија</w:t>
        </w:r>
        <w:r w:rsidR="0073169A">
          <w:rPr>
            <w:noProof/>
            <w:webHidden/>
          </w:rPr>
          <w:tab/>
        </w:r>
        <w:r w:rsidR="0073169A">
          <w:rPr>
            <w:noProof/>
            <w:webHidden/>
          </w:rPr>
          <w:fldChar w:fldCharType="begin"/>
        </w:r>
        <w:r w:rsidR="0073169A">
          <w:rPr>
            <w:noProof/>
            <w:webHidden/>
          </w:rPr>
          <w:instrText xml:space="preserve"> PAGEREF _Toc444009823 \h </w:instrText>
        </w:r>
        <w:r w:rsidR="0073169A">
          <w:rPr>
            <w:noProof/>
            <w:webHidden/>
          </w:rPr>
        </w:r>
        <w:r w:rsidR="0073169A">
          <w:rPr>
            <w:noProof/>
            <w:webHidden/>
          </w:rPr>
          <w:fldChar w:fldCharType="separate"/>
        </w:r>
        <w:r w:rsidR="0073169A">
          <w:rPr>
            <w:noProof/>
            <w:webHidden/>
          </w:rPr>
          <w:t>10</w:t>
        </w:r>
        <w:r w:rsidR="0073169A">
          <w:rPr>
            <w:noProof/>
            <w:webHidden/>
          </w:rPr>
          <w:fldChar w:fldCharType="end"/>
        </w:r>
      </w:hyperlink>
    </w:p>
    <w:p w14:paraId="27553530"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25" w:history="1">
        <w:r w:rsidR="0073169A" w:rsidRPr="00775795">
          <w:rPr>
            <w:rStyle w:val="Hyperlink"/>
            <w:noProof/>
            <w:lang w:val="ro-RO"/>
          </w:rPr>
          <w:t>3.1.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Каде се лоцирани објектите?</w:t>
        </w:r>
        <w:r w:rsidR="0073169A">
          <w:rPr>
            <w:noProof/>
            <w:webHidden/>
          </w:rPr>
          <w:tab/>
        </w:r>
        <w:r w:rsidR="0073169A">
          <w:rPr>
            <w:noProof/>
            <w:webHidden/>
          </w:rPr>
          <w:fldChar w:fldCharType="begin"/>
        </w:r>
        <w:r w:rsidR="0073169A">
          <w:rPr>
            <w:noProof/>
            <w:webHidden/>
          </w:rPr>
          <w:instrText xml:space="preserve"> PAGEREF _Toc444009825 \h </w:instrText>
        </w:r>
        <w:r w:rsidR="0073169A">
          <w:rPr>
            <w:noProof/>
            <w:webHidden/>
          </w:rPr>
        </w:r>
        <w:r w:rsidR="0073169A">
          <w:rPr>
            <w:noProof/>
            <w:webHidden/>
          </w:rPr>
          <w:fldChar w:fldCharType="separate"/>
        </w:r>
        <w:r w:rsidR="0073169A">
          <w:rPr>
            <w:noProof/>
            <w:webHidden/>
          </w:rPr>
          <w:t>10</w:t>
        </w:r>
        <w:r w:rsidR="0073169A">
          <w:rPr>
            <w:noProof/>
            <w:webHidden/>
          </w:rPr>
          <w:fldChar w:fldCharType="end"/>
        </w:r>
      </w:hyperlink>
    </w:p>
    <w:p w14:paraId="0AE6440A"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26" w:history="1">
        <w:r w:rsidR="0073169A" w:rsidRPr="00775795">
          <w:rPr>
            <w:rStyle w:val="Hyperlink"/>
            <w:noProof/>
            <w:lang w:val="ro-RO"/>
          </w:rPr>
          <w:t>3.2.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Законодавство на сила</w:t>
        </w:r>
        <w:r w:rsidR="0073169A">
          <w:rPr>
            <w:noProof/>
            <w:webHidden/>
          </w:rPr>
          <w:tab/>
        </w:r>
        <w:r w:rsidR="0073169A">
          <w:rPr>
            <w:noProof/>
            <w:webHidden/>
          </w:rPr>
          <w:fldChar w:fldCharType="begin"/>
        </w:r>
        <w:r w:rsidR="0073169A">
          <w:rPr>
            <w:noProof/>
            <w:webHidden/>
          </w:rPr>
          <w:instrText xml:space="preserve"> PAGEREF _Toc444009826 \h </w:instrText>
        </w:r>
        <w:r w:rsidR="0073169A">
          <w:rPr>
            <w:noProof/>
            <w:webHidden/>
          </w:rPr>
        </w:r>
        <w:r w:rsidR="0073169A">
          <w:rPr>
            <w:noProof/>
            <w:webHidden/>
          </w:rPr>
          <w:fldChar w:fldCharType="separate"/>
        </w:r>
        <w:r w:rsidR="0073169A">
          <w:rPr>
            <w:noProof/>
            <w:webHidden/>
          </w:rPr>
          <w:t>12</w:t>
        </w:r>
        <w:r w:rsidR="0073169A">
          <w:rPr>
            <w:noProof/>
            <w:webHidden/>
          </w:rPr>
          <w:fldChar w:fldCharType="end"/>
        </w:r>
      </w:hyperlink>
    </w:p>
    <w:p w14:paraId="3ECCDFB1"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27" w:history="1">
        <w:r w:rsidR="0073169A" w:rsidRPr="00775795">
          <w:rPr>
            <w:rStyle w:val="Hyperlink"/>
            <w:noProof/>
            <w:lang w:val="mk-MK"/>
          </w:rPr>
          <w:t>4.</w:t>
        </w:r>
        <w:r w:rsidR="0073169A">
          <w:rPr>
            <w:rFonts w:asciiTheme="minorHAnsi" w:eastAsiaTheme="minorEastAsia" w:hAnsiTheme="minorHAnsi" w:cstheme="minorBidi"/>
            <w:b w:val="0"/>
            <w:noProof/>
            <w:sz w:val="22"/>
            <w:szCs w:val="22"/>
            <w:lang w:val="es-ES" w:eastAsia="es-ES"/>
          </w:rPr>
          <w:tab/>
        </w:r>
        <w:r w:rsidR="0073169A" w:rsidRPr="00775795">
          <w:rPr>
            <w:rStyle w:val="Hyperlink"/>
            <w:rFonts w:eastAsia="Calibri" w:cs="Calibri"/>
            <w:iCs/>
            <w:noProof/>
            <w:bdr w:val="nil"/>
            <w:lang w:val="mk-MK" w:bidi="mk-MK"/>
          </w:rPr>
          <w:t>Главни прашања во врска со животната средина во секторот</w:t>
        </w:r>
        <w:r w:rsidR="0073169A">
          <w:rPr>
            <w:noProof/>
            <w:webHidden/>
          </w:rPr>
          <w:tab/>
        </w:r>
        <w:r w:rsidR="0073169A">
          <w:rPr>
            <w:noProof/>
            <w:webHidden/>
          </w:rPr>
          <w:fldChar w:fldCharType="begin"/>
        </w:r>
        <w:r w:rsidR="0073169A">
          <w:rPr>
            <w:noProof/>
            <w:webHidden/>
          </w:rPr>
          <w:instrText xml:space="preserve"> PAGEREF _Toc444009827 \h </w:instrText>
        </w:r>
        <w:r w:rsidR="0073169A">
          <w:rPr>
            <w:noProof/>
            <w:webHidden/>
          </w:rPr>
        </w:r>
        <w:r w:rsidR="0073169A">
          <w:rPr>
            <w:noProof/>
            <w:webHidden/>
          </w:rPr>
          <w:fldChar w:fldCharType="separate"/>
        </w:r>
        <w:r w:rsidR="0073169A">
          <w:rPr>
            <w:noProof/>
            <w:webHidden/>
          </w:rPr>
          <w:t>13</w:t>
        </w:r>
        <w:r w:rsidR="0073169A">
          <w:rPr>
            <w:noProof/>
            <w:webHidden/>
          </w:rPr>
          <w:fldChar w:fldCharType="end"/>
        </w:r>
      </w:hyperlink>
    </w:p>
    <w:p w14:paraId="54AE5BA5"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28" w:history="1">
        <w:r w:rsidR="0073169A" w:rsidRPr="00775795">
          <w:rPr>
            <w:rStyle w:val="Hyperlink"/>
            <w:noProof/>
            <w:lang w:val="ro-RO"/>
          </w:rPr>
          <w:t>4.1.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Прелиминарни информации за Референтниот документ за најдобри достапни техники за големи постројки за согорување и за Најдобрите достапни техники</w:t>
        </w:r>
        <w:r w:rsidR="0073169A">
          <w:rPr>
            <w:noProof/>
            <w:webHidden/>
          </w:rPr>
          <w:tab/>
        </w:r>
        <w:r w:rsidR="0073169A">
          <w:rPr>
            <w:noProof/>
            <w:webHidden/>
          </w:rPr>
          <w:fldChar w:fldCharType="begin"/>
        </w:r>
        <w:r w:rsidR="0073169A">
          <w:rPr>
            <w:noProof/>
            <w:webHidden/>
          </w:rPr>
          <w:instrText xml:space="preserve"> PAGEREF _Toc444009828 \h </w:instrText>
        </w:r>
        <w:r w:rsidR="0073169A">
          <w:rPr>
            <w:noProof/>
            <w:webHidden/>
          </w:rPr>
        </w:r>
        <w:r w:rsidR="0073169A">
          <w:rPr>
            <w:noProof/>
            <w:webHidden/>
          </w:rPr>
          <w:fldChar w:fldCharType="separate"/>
        </w:r>
        <w:r w:rsidR="0073169A">
          <w:rPr>
            <w:noProof/>
            <w:webHidden/>
          </w:rPr>
          <w:t>13</w:t>
        </w:r>
        <w:r w:rsidR="0073169A">
          <w:rPr>
            <w:noProof/>
            <w:webHidden/>
          </w:rPr>
          <w:fldChar w:fldCharType="end"/>
        </w:r>
      </w:hyperlink>
    </w:p>
    <w:p w14:paraId="3FFEBAAF"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29" w:history="1">
        <w:r w:rsidR="0073169A" w:rsidRPr="00775795">
          <w:rPr>
            <w:rStyle w:val="Hyperlink"/>
            <w:noProof/>
            <w:lang w:val="mk-MK"/>
          </w:rPr>
          <w:t>4.1.1.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Опсег на Референтниот документ за најдобрите достапни техники за големи постројки за согорување и Заклучоци за НДТ</w:t>
        </w:r>
        <w:r w:rsidR="0073169A">
          <w:rPr>
            <w:noProof/>
            <w:webHidden/>
          </w:rPr>
          <w:tab/>
        </w:r>
        <w:r w:rsidR="0073169A">
          <w:rPr>
            <w:noProof/>
            <w:webHidden/>
          </w:rPr>
          <w:fldChar w:fldCharType="begin"/>
        </w:r>
        <w:r w:rsidR="0073169A">
          <w:rPr>
            <w:noProof/>
            <w:webHidden/>
          </w:rPr>
          <w:instrText xml:space="preserve"> PAGEREF _Toc444009829 \h </w:instrText>
        </w:r>
        <w:r w:rsidR="0073169A">
          <w:rPr>
            <w:noProof/>
            <w:webHidden/>
          </w:rPr>
        </w:r>
        <w:r w:rsidR="0073169A">
          <w:rPr>
            <w:noProof/>
            <w:webHidden/>
          </w:rPr>
          <w:fldChar w:fldCharType="separate"/>
        </w:r>
        <w:r w:rsidR="0073169A">
          <w:rPr>
            <w:noProof/>
            <w:webHidden/>
          </w:rPr>
          <w:t>13</w:t>
        </w:r>
        <w:r w:rsidR="0073169A">
          <w:rPr>
            <w:noProof/>
            <w:webHidden/>
          </w:rPr>
          <w:fldChar w:fldCharType="end"/>
        </w:r>
      </w:hyperlink>
    </w:p>
    <w:p w14:paraId="2A4C9B13" w14:textId="77777777" w:rsidR="0073169A" w:rsidRDefault="00AB34B7">
      <w:pPr>
        <w:pStyle w:val="TOC3"/>
        <w:tabs>
          <w:tab w:val="right" w:pos="9062"/>
        </w:tabs>
        <w:rPr>
          <w:rFonts w:asciiTheme="minorHAnsi" w:eastAsiaTheme="minorEastAsia" w:hAnsiTheme="minorHAnsi" w:cstheme="minorBidi"/>
          <w:noProof/>
          <w:lang w:val="es-ES" w:eastAsia="es-ES"/>
        </w:rPr>
      </w:pPr>
      <w:hyperlink w:anchor="_Toc444009830" w:history="1">
        <w:r w:rsidR="0073169A" w:rsidRPr="00775795">
          <w:rPr>
            <w:rStyle w:val="Hyperlink"/>
            <w:rFonts w:cs="Calibri"/>
            <w:noProof/>
            <w:bdr w:val="nil"/>
            <w:lang w:val="mk-MK" w:bidi="mk-MK"/>
          </w:rPr>
          <w:t>4.1.2. Заклучоци за НДТ за големи постројки за согорување</w:t>
        </w:r>
        <w:r w:rsidR="0073169A">
          <w:rPr>
            <w:noProof/>
            <w:webHidden/>
          </w:rPr>
          <w:tab/>
        </w:r>
        <w:r w:rsidR="0073169A">
          <w:rPr>
            <w:noProof/>
            <w:webHidden/>
          </w:rPr>
          <w:fldChar w:fldCharType="begin"/>
        </w:r>
        <w:r w:rsidR="0073169A">
          <w:rPr>
            <w:noProof/>
            <w:webHidden/>
          </w:rPr>
          <w:instrText xml:space="preserve"> PAGEREF _Toc444009830 \h </w:instrText>
        </w:r>
        <w:r w:rsidR="0073169A">
          <w:rPr>
            <w:noProof/>
            <w:webHidden/>
          </w:rPr>
        </w:r>
        <w:r w:rsidR="0073169A">
          <w:rPr>
            <w:noProof/>
            <w:webHidden/>
          </w:rPr>
          <w:fldChar w:fldCharType="separate"/>
        </w:r>
        <w:r w:rsidR="0073169A">
          <w:rPr>
            <w:noProof/>
            <w:webHidden/>
          </w:rPr>
          <w:t>14</w:t>
        </w:r>
        <w:r w:rsidR="0073169A">
          <w:rPr>
            <w:noProof/>
            <w:webHidden/>
          </w:rPr>
          <w:fldChar w:fldCharType="end"/>
        </w:r>
      </w:hyperlink>
    </w:p>
    <w:p w14:paraId="57E5F707"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36" w:history="1">
        <w:r w:rsidR="0073169A" w:rsidRPr="00775795">
          <w:rPr>
            <w:rStyle w:val="Hyperlink"/>
            <w:noProof/>
            <w:lang w:val="ro-RO"/>
          </w:rPr>
          <w:t>4.2.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Воздух</w:t>
        </w:r>
        <w:r w:rsidR="0073169A">
          <w:rPr>
            <w:noProof/>
            <w:webHidden/>
          </w:rPr>
          <w:tab/>
        </w:r>
        <w:r w:rsidR="0073169A">
          <w:rPr>
            <w:noProof/>
            <w:webHidden/>
          </w:rPr>
          <w:fldChar w:fldCharType="begin"/>
        </w:r>
        <w:r w:rsidR="0073169A">
          <w:rPr>
            <w:noProof/>
            <w:webHidden/>
          </w:rPr>
          <w:instrText xml:space="preserve"> PAGEREF _Toc444009836 \h </w:instrText>
        </w:r>
        <w:r w:rsidR="0073169A">
          <w:rPr>
            <w:noProof/>
            <w:webHidden/>
          </w:rPr>
        </w:r>
        <w:r w:rsidR="0073169A">
          <w:rPr>
            <w:noProof/>
            <w:webHidden/>
          </w:rPr>
          <w:fldChar w:fldCharType="separate"/>
        </w:r>
        <w:r w:rsidR="0073169A">
          <w:rPr>
            <w:noProof/>
            <w:webHidden/>
          </w:rPr>
          <w:t>15</w:t>
        </w:r>
        <w:r w:rsidR="0073169A">
          <w:rPr>
            <w:noProof/>
            <w:webHidden/>
          </w:rPr>
          <w:fldChar w:fldCharType="end"/>
        </w:r>
      </w:hyperlink>
    </w:p>
    <w:p w14:paraId="2C429A31"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37" w:history="1">
        <w:r w:rsidR="0073169A" w:rsidRPr="00775795">
          <w:rPr>
            <w:rStyle w:val="Hyperlink"/>
            <w:noProof/>
            <w:lang w:val="ro-RO"/>
          </w:rPr>
          <w:t>4.2.1.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Загадувачки материи: SOx (сулфурни оксиди), NOx (азотни оксиди), CO (јаглерод моноксид), NH3 (амонијак), HCl (хлороводород), HF (флуороводород), прашина, метали врзани за честичките и емисии на жива во воздухот</w:t>
        </w:r>
        <w:r w:rsidR="0073169A">
          <w:rPr>
            <w:noProof/>
            <w:webHidden/>
          </w:rPr>
          <w:tab/>
        </w:r>
        <w:r w:rsidR="0073169A">
          <w:rPr>
            <w:noProof/>
            <w:webHidden/>
          </w:rPr>
          <w:fldChar w:fldCharType="begin"/>
        </w:r>
        <w:r w:rsidR="0073169A">
          <w:rPr>
            <w:noProof/>
            <w:webHidden/>
          </w:rPr>
          <w:instrText xml:space="preserve"> PAGEREF _Toc444009837 \h </w:instrText>
        </w:r>
        <w:r w:rsidR="0073169A">
          <w:rPr>
            <w:noProof/>
            <w:webHidden/>
          </w:rPr>
        </w:r>
        <w:r w:rsidR="0073169A">
          <w:rPr>
            <w:noProof/>
            <w:webHidden/>
          </w:rPr>
          <w:fldChar w:fldCharType="separate"/>
        </w:r>
        <w:r w:rsidR="0073169A">
          <w:rPr>
            <w:noProof/>
            <w:webHidden/>
          </w:rPr>
          <w:t>15</w:t>
        </w:r>
        <w:r w:rsidR="0073169A">
          <w:rPr>
            <w:noProof/>
            <w:webHidden/>
          </w:rPr>
          <w:fldChar w:fldCharType="end"/>
        </w:r>
      </w:hyperlink>
    </w:p>
    <w:p w14:paraId="12220AB1"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38" w:history="1">
        <w:r w:rsidR="0073169A" w:rsidRPr="00775795">
          <w:rPr>
            <w:rStyle w:val="Hyperlink"/>
            <w:noProof/>
            <w:lang w:val="ro-RO"/>
          </w:rPr>
          <w:t>4.2.2.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Мирис</w:t>
        </w:r>
        <w:r w:rsidR="0073169A">
          <w:rPr>
            <w:noProof/>
            <w:webHidden/>
          </w:rPr>
          <w:tab/>
        </w:r>
        <w:r w:rsidR="0073169A">
          <w:rPr>
            <w:noProof/>
            <w:webHidden/>
          </w:rPr>
          <w:fldChar w:fldCharType="begin"/>
        </w:r>
        <w:r w:rsidR="0073169A">
          <w:rPr>
            <w:noProof/>
            <w:webHidden/>
          </w:rPr>
          <w:instrText xml:space="preserve"> PAGEREF _Toc444009838 \h </w:instrText>
        </w:r>
        <w:r w:rsidR="0073169A">
          <w:rPr>
            <w:noProof/>
            <w:webHidden/>
          </w:rPr>
        </w:r>
        <w:r w:rsidR="0073169A">
          <w:rPr>
            <w:noProof/>
            <w:webHidden/>
          </w:rPr>
          <w:fldChar w:fldCharType="separate"/>
        </w:r>
        <w:r w:rsidR="0073169A">
          <w:rPr>
            <w:noProof/>
            <w:webHidden/>
          </w:rPr>
          <w:t>18</w:t>
        </w:r>
        <w:r w:rsidR="0073169A">
          <w:rPr>
            <w:noProof/>
            <w:webHidden/>
          </w:rPr>
          <w:fldChar w:fldCharType="end"/>
        </w:r>
      </w:hyperlink>
    </w:p>
    <w:p w14:paraId="3F00E751"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39" w:history="1">
        <w:r w:rsidR="0073169A" w:rsidRPr="00775795">
          <w:rPr>
            <w:rStyle w:val="Hyperlink"/>
            <w:noProof/>
            <w:lang w:val="ro-RO"/>
          </w:rPr>
          <w:t>4.2.3.</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Стакленички гасови (гасови кои предизвикуваат ефект на стаклена градина)</w:t>
        </w:r>
        <w:r w:rsidR="0073169A">
          <w:rPr>
            <w:noProof/>
            <w:webHidden/>
          </w:rPr>
          <w:tab/>
        </w:r>
        <w:r w:rsidR="0073169A">
          <w:rPr>
            <w:noProof/>
            <w:webHidden/>
          </w:rPr>
          <w:fldChar w:fldCharType="begin"/>
        </w:r>
        <w:r w:rsidR="0073169A">
          <w:rPr>
            <w:noProof/>
            <w:webHidden/>
          </w:rPr>
          <w:instrText xml:space="preserve"> PAGEREF _Toc444009839 \h </w:instrText>
        </w:r>
        <w:r w:rsidR="0073169A">
          <w:rPr>
            <w:noProof/>
            <w:webHidden/>
          </w:rPr>
        </w:r>
        <w:r w:rsidR="0073169A">
          <w:rPr>
            <w:noProof/>
            <w:webHidden/>
          </w:rPr>
          <w:fldChar w:fldCharType="separate"/>
        </w:r>
        <w:r w:rsidR="0073169A">
          <w:rPr>
            <w:noProof/>
            <w:webHidden/>
          </w:rPr>
          <w:t>19</w:t>
        </w:r>
        <w:r w:rsidR="0073169A">
          <w:rPr>
            <w:noProof/>
            <w:webHidden/>
          </w:rPr>
          <w:fldChar w:fldCharType="end"/>
        </w:r>
      </w:hyperlink>
    </w:p>
    <w:p w14:paraId="20B6DF0D"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0" w:history="1">
        <w:r w:rsidR="0073169A" w:rsidRPr="00775795">
          <w:rPr>
            <w:rStyle w:val="Hyperlink"/>
            <w:noProof/>
            <w:lang w:val="ro-RO"/>
          </w:rPr>
          <w:t>4.3.</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Бучава и вибрации</w:t>
        </w:r>
        <w:r w:rsidR="0073169A">
          <w:rPr>
            <w:noProof/>
            <w:webHidden/>
          </w:rPr>
          <w:tab/>
        </w:r>
        <w:r w:rsidR="0073169A">
          <w:rPr>
            <w:noProof/>
            <w:webHidden/>
          </w:rPr>
          <w:fldChar w:fldCharType="begin"/>
        </w:r>
        <w:r w:rsidR="0073169A">
          <w:rPr>
            <w:noProof/>
            <w:webHidden/>
          </w:rPr>
          <w:instrText xml:space="preserve"> PAGEREF _Toc444009840 \h </w:instrText>
        </w:r>
        <w:r w:rsidR="0073169A">
          <w:rPr>
            <w:noProof/>
            <w:webHidden/>
          </w:rPr>
        </w:r>
        <w:r w:rsidR="0073169A">
          <w:rPr>
            <w:noProof/>
            <w:webHidden/>
          </w:rPr>
          <w:fldChar w:fldCharType="separate"/>
        </w:r>
        <w:r w:rsidR="0073169A">
          <w:rPr>
            <w:noProof/>
            <w:webHidden/>
          </w:rPr>
          <w:t>19</w:t>
        </w:r>
        <w:r w:rsidR="0073169A">
          <w:rPr>
            <w:noProof/>
            <w:webHidden/>
          </w:rPr>
          <w:fldChar w:fldCharType="end"/>
        </w:r>
      </w:hyperlink>
    </w:p>
    <w:p w14:paraId="2297BA49"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1" w:history="1">
        <w:r w:rsidR="0073169A" w:rsidRPr="00775795">
          <w:rPr>
            <w:rStyle w:val="Hyperlink"/>
            <w:noProof/>
            <w:lang w:val="ro-RO"/>
          </w:rPr>
          <w:t>4.4.</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Отпадни води</w:t>
        </w:r>
        <w:r w:rsidR="0073169A">
          <w:rPr>
            <w:noProof/>
            <w:webHidden/>
          </w:rPr>
          <w:tab/>
        </w:r>
        <w:r w:rsidR="0073169A">
          <w:rPr>
            <w:noProof/>
            <w:webHidden/>
          </w:rPr>
          <w:fldChar w:fldCharType="begin"/>
        </w:r>
        <w:r w:rsidR="0073169A">
          <w:rPr>
            <w:noProof/>
            <w:webHidden/>
          </w:rPr>
          <w:instrText xml:space="preserve"> PAGEREF _Toc444009841 \h </w:instrText>
        </w:r>
        <w:r w:rsidR="0073169A">
          <w:rPr>
            <w:noProof/>
            <w:webHidden/>
          </w:rPr>
        </w:r>
        <w:r w:rsidR="0073169A">
          <w:rPr>
            <w:noProof/>
            <w:webHidden/>
          </w:rPr>
          <w:fldChar w:fldCharType="separate"/>
        </w:r>
        <w:r w:rsidR="0073169A">
          <w:rPr>
            <w:noProof/>
            <w:webHidden/>
          </w:rPr>
          <w:t>19</w:t>
        </w:r>
        <w:r w:rsidR="0073169A">
          <w:rPr>
            <w:noProof/>
            <w:webHidden/>
          </w:rPr>
          <w:fldChar w:fldCharType="end"/>
        </w:r>
      </w:hyperlink>
    </w:p>
    <w:p w14:paraId="31D23DB7"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2" w:history="1">
        <w:r w:rsidR="0073169A" w:rsidRPr="00775795">
          <w:rPr>
            <w:rStyle w:val="Hyperlink"/>
            <w:noProof/>
            <w:lang w:val="ro-RO"/>
          </w:rPr>
          <w:t>4.5.</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Почва и подземни води</w:t>
        </w:r>
        <w:r w:rsidR="0073169A">
          <w:rPr>
            <w:noProof/>
            <w:webHidden/>
          </w:rPr>
          <w:tab/>
        </w:r>
        <w:r w:rsidR="0073169A">
          <w:rPr>
            <w:noProof/>
            <w:webHidden/>
          </w:rPr>
          <w:fldChar w:fldCharType="begin"/>
        </w:r>
        <w:r w:rsidR="0073169A">
          <w:rPr>
            <w:noProof/>
            <w:webHidden/>
          </w:rPr>
          <w:instrText xml:space="preserve"> PAGEREF _Toc444009842 \h </w:instrText>
        </w:r>
        <w:r w:rsidR="0073169A">
          <w:rPr>
            <w:noProof/>
            <w:webHidden/>
          </w:rPr>
        </w:r>
        <w:r w:rsidR="0073169A">
          <w:rPr>
            <w:noProof/>
            <w:webHidden/>
          </w:rPr>
          <w:fldChar w:fldCharType="separate"/>
        </w:r>
        <w:r w:rsidR="0073169A">
          <w:rPr>
            <w:noProof/>
            <w:webHidden/>
          </w:rPr>
          <w:t>20</w:t>
        </w:r>
        <w:r w:rsidR="0073169A">
          <w:rPr>
            <w:noProof/>
            <w:webHidden/>
          </w:rPr>
          <w:fldChar w:fldCharType="end"/>
        </w:r>
      </w:hyperlink>
    </w:p>
    <w:p w14:paraId="69965BFC"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3" w:history="1">
        <w:r w:rsidR="0073169A" w:rsidRPr="00775795">
          <w:rPr>
            <w:rStyle w:val="Hyperlink"/>
            <w:noProof/>
            <w:lang w:val="ro-RO"/>
          </w:rPr>
          <w:t>4.6.</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Отпад</w:t>
        </w:r>
        <w:r w:rsidR="0073169A">
          <w:rPr>
            <w:noProof/>
            <w:webHidden/>
          </w:rPr>
          <w:tab/>
        </w:r>
        <w:r w:rsidR="0073169A">
          <w:rPr>
            <w:noProof/>
            <w:webHidden/>
          </w:rPr>
          <w:fldChar w:fldCharType="begin"/>
        </w:r>
        <w:r w:rsidR="0073169A">
          <w:rPr>
            <w:noProof/>
            <w:webHidden/>
          </w:rPr>
          <w:instrText xml:space="preserve"> PAGEREF _Toc444009843 \h </w:instrText>
        </w:r>
        <w:r w:rsidR="0073169A">
          <w:rPr>
            <w:noProof/>
            <w:webHidden/>
          </w:rPr>
        </w:r>
        <w:r w:rsidR="0073169A">
          <w:rPr>
            <w:noProof/>
            <w:webHidden/>
          </w:rPr>
          <w:fldChar w:fldCharType="separate"/>
        </w:r>
        <w:r w:rsidR="0073169A">
          <w:rPr>
            <w:noProof/>
            <w:webHidden/>
          </w:rPr>
          <w:t>20</w:t>
        </w:r>
        <w:r w:rsidR="0073169A">
          <w:rPr>
            <w:noProof/>
            <w:webHidden/>
          </w:rPr>
          <w:fldChar w:fldCharType="end"/>
        </w:r>
      </w:hyperlink>
    </w:p>
    <w:p w14:paraId="4853CFD4"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4" w:history="1">
        <w:r w:rsidR="0073169A" w:rsidRPr="00775795">
          <w:rPr>
            <w:rStyle w:val="Hyperlink"/>
            <w:noProof/>
            <w:lang w:val="ro-RO"/>
          </w:rPr>
          <w:t>4.7.</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Безбедност</w:t>
        </w:r>
        <w:r w:rsidR="0073169A">
          <w:rPr>
            <w:noProof/>
            <w:webHidden/>
          </w:rPr>
          <w:tab/>
        </w:r>
        <w:r w:rsidR="0073169A">
          <w:rPr>
            <w:noProof/>
            <w:webHidden/>
          </w:rPr>
          <w:fldChar w:fldCharType="begin"/>
        </w:r>
        <w:r w:rsidR="0073169A">
          <w:rPr>
            <w:noProof/>
            <w:webHidden/>
          </w:rPr>
          <w:instrText xml:space="preserve"> PAGEREF _Toc444009844 \h </w:instrText>
        </w:r>
        <w:r w:rsidR="0073169A">
          <w:rPr>
            <w:noProof/>
            <w:webHidden/>
          </w:rPr>
        </w:r>
        <w:r w:rsidR="0073169A">
          <w:rPr>
            <w:noProof/>
            <w:webHidden/>
          </w:rPr>
          <w:fldChar w:fldCharType="separate"/>
        </w:r>
        <w:r w:rsidR="0073169A">
          <w:rPr>
            <w:noProof/>
            <w:webHidden/>
          </w:rPr>
          <w:t>20</w:t>
        </w:r>
        <w:r w:rsidR="0073169A">
          <w:rPr>
            <w:noProof/>
            <w:webHidden/>
          </w:rPr>
          <w:fldChar w:fldCharType="end"/>
        </w:r>
      </w:hyperlink>
    </w:p>
    <w:p w14:paraId="5258C677"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5" w:history="1">
        <w:r w:rsidR="0073169A" w:rsidRPr="00775795">
          <w:rPr>
            <w:rStyle w:val="Hyperlink"/>
            <w:noProof/>
            <w:lang w:val="ro-RO"/>
          </w:rPr>
          <w:t>4.8.</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Административна организација / внатрешна контрола</w:t>
        </w:r>
        <w:r w:rsidR="0073169A">
          <w:rPr>
            <w:noProof/>
            <w:webHidden/>
          </w:rPr>
          <w:tab/>
        </w:r>
        <w:r w:rsidR="0073169A">
          <w:rPr>
            <w:noProof/>
            <w:webHidden/>
          </w:rPr>
          <w:fldChar w:fldCharType="begin"/>
        </w:r>
        <w:r w:rsidR="0073169A">
          <w:rPr>
            <w:noProof/>
            <w:webHidden/>
          </w:rPr>
          <w:instrText xml:space="preserve"> PAGEREF _Toc444009845 \h </w:instrText>
        </w:r>
        <w:r w:rsidR="0073169A">
          <w:rPr>
            <w:noProof/>
            <w:webHidden/>
          </w:rPr>
        </w:r>
        <w:r w:rsidR="0073169A">
          <w:rPr>
            <w:noProof/>
            <w:webHidden/>
          </w:rPr>
          <w:fldChar w:fldCharType="separate"/>
        </w:r>
        <w:r w:rsidR="0073169A">
          <w:rPr>
            <w:noProof/>
            <w:webHidden/>
          </w:rPr>
          <w:t>21</w:t>
        </w:r>
        <w:r w:rsidR="0073169A">
          <w:rPr>
            <w:noProof/>
            <w:webHidden/>
          </w:rPr>
          <w:fldChar w:fldCharType="end"/>
        </w:r>
      </w:hyperlink>
    </w:p>
    <w:p w14:paraId="32C2A3E4"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46" w:history="1">
        <w:r w:rsidR="0073169A" w:rsidRPr="00775795">
          <w:rPr>
            <w:rStyle w:val="Hyperlink"/>
            <w:noProof/>
            <w:lang w:val="ro-RO"/>
          </w:rPr>
          <w:t>4.8.1.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Систем за управување со животната средина</w:t>
        </w:r>
        <w:r w:rsidR="0073169A">
          <w:rPr>
            <w:noProof/>
            <w:webHidden/>
          </w:rPr>
          <w:tab/>
        </w:r>
        <w:r w:rsidR="0073169A">
          <w:rPr>
            <w:noProof/>
            <w:webHidden/>
          </w:rPr>
          <w:fldChar w:fldCharType="begin"/>
        </w:r>
        <w:r w:rsidR="0073169A">
          <w:rPr>
            <w:noProof/>
            <w:webHidden/>
          </w:rPr>
          <w:instrText xml:space="preserve"> PAGEREF _Toc444009846 \h </w:instrText>
        </w:r>
        <w:r w:rsidR="0073169A">
          <w:rPr>
            <w:noProof/>
            <w:webHidden/>
          </w:rPr>
        </w:r>
        <w:r w:rsidR="0073169A">
          <w:rPr>
            <w:noProof/>
            <w:webHidden/>
          </w:rPr>
          <w:fldChar w:fldCharType="separate"/>
        </w:r>
        <w:r w:rsidR="0073169A">
          <w:rPr>
            <w:noProof/>
            <w:webHidden/>
          </w:rPr>
          <w:t>21</w:t>
        </w:r>
        <w:r w:rsidR="0073169A">
          <w:rPr>
            <w:noProof/>
            <w:webHidden/>
          </w:rPr>
          <w:fldChar w:fldCharType="end"/>
        </w:r>
      </w:hyperlink>
    </w:p>
    <w:p w14:paraId="70162171"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47" w:history="1">
        <w:r w:rsidR="0073169A" w:rsidRPr="00775795">
          <w:rPr>
            <w:rStyle w:val="Hyperlink"/>
            <w:noProof/>
            <w:lang w:val="ro-RO"/>
          </w:rPr>
          <w:t>4.8.2.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Самомониторинг и известување</w:t>
        </w:r>
        <w:r w:rsidR="0073169A">
          <w:rPr>
            <w:noProof/>
            <w:webHidden/>
          </w:rPr>
          <w:tab/>
        </w:r>
        <w:r w:rsidR="0073169A">
          <w:rPr>
            <w:noProof/>
            <w:webHidden/>
          </w:rPr>
          <w:fldChar w:fldCharType="begin"/>
        </w:r>
        <w:r w:rsidR="0073169A">
          <w:rPr>
            <w:noProof/>
            <w:webHidden/>
          </w:rPr>
          <w:instrText xml:space="preserve"> PAGEREF _Toc444009847 \h </w:instrText>
        </w:r>
        <w:r w:rsidR="0073169A">
          <w:rPr>
            <w:noProof/>
            <w:webHidden/>
          </w:rPr>
        </w:r>
        <w:r w:rsidR="0073169A">
          <w:rPr>
            <w:noProof/>
            <w:webHidden/>
          </w:rPr>
          <w:fldChar w:fldCharType="separate"/>
        </w:r>
        <w:r w:rsidR="0073169A">
          <w:rPr>
            <w:noProof/>
            <w:webHidden/>
          </w:rPr>
          <w:t>21</w:t>
        </w:r>
        <w:r w:rsidR="0073169A">
          <w:rPr>
            <w:noProof/>
            <w:webHidden/>
          </w:rPr>
          <w:fldChar w:fldCharType="end"/>
        </w:r>
      </w:hyperlink>
    </w:p>
    <w:p w14:paraId="1C0DCE0F"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48" w:history="1">
        <w:r w:rsidR="0073169A" w:rsidRPr="00775795">
          <w:rPr>
            <w:rStyle w:val="Hyperlink"/>
            <w:noProof/>
            <w:lang w:val="ro-RO"/>
          </w:rPr>
          <w:t>4.9.</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Други прашања во врска со животната средина</w:t>
        </w:r>
        <w:r w:rsidR="0073169A">
          <w:rPr>
            <w:noProof/>
            <w:webHidden/>
          </w:rPr>
          <w:tab/>
        </w:r>
        <w:r w:rsidR="0073169A">
          <w:rPr>
            <w:noProof/>
            <w:webHidden/>
          </w:rPr>
          <w:fldChar w:fldCharType="begin"/>
        </w:r>
        <w:r w:rsidR="0073169A">
          <w:rPr>
            <w:noProof/>
            <w:webHidden/>
          </w:rPr>
          <w:instrText xml:space="preserve"> PAGEREF _Toc444009848 \h </w:instrText>
        </w:r>
        <w:r w:rsidR="0073169A">
          <w:rPr>
            <w:noProof/>
            <w:webHidden/>
          </w:rPr>
        </w:r>
        <w:r w:rsidR="0073169A">
          <w:rPr>
            <w:noProof/>
            <w:webHidden/>
          </w:rPr>
          <w:fldChar w:fldCharType="separate"/>
        </w:r>
        <w:r w:rsidR="0073169A">
          <w:rPr>
            <w:noProof/>
            <w:webHidden/>
          </w:rPr>
          <w:t>22</w:t>
        </w:r>
        <w:r w:rsidR="0073169A">
          <w:rPr>
            <w:noProof/>
            <w:webHidden/>
          </w:rPr>
          <w:fldChar w:fldCharType="end"/>
        </w:r>
      </w:hyperlink>
    </w:p>
    <w:p w14:paraId="58A6DF67"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49" w:history="1">
        <w:r w:rsidR="0073169A" w:rsidRPr="00775795">
          <w:rPr>
            <w:rStyle w:val="Hyperlink"/>
            <w:noProof/>
            <w:lang w:val="ro-RO"/>
          </w:rPr>
          <w:t>4.9.1.</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Потрошувачка на енергија и ефикасност</w:t>
        </w:r>
        <w:r w:rsidR="0073169A">
          <w:rPr>
            <w:noProof/>
            <w:webHidden/>
          </w:rPr>
          <w:tab/>
        </w:r>
        <w:r w:rsidR="0073169A">
          <w:rPr>
            <w:noProof/>
            <w:webHidden/>
          </w:rPr>
          <w:fldChar w:fldCharType="begin"/>
        </w:r>
        <w:r w:rsidR="0073169A">
          <w:rPr>
            <w:noProof/>
            <w:webHidden/>
          </w:rPr>
          <w:instrText xml:space="preserve"> PAGEREF _Toc444009849 \h </w:instrText>
        </w:r>
        <w:r w:rsidR="0073169A">
          <w:rPr>
            <w:noProof/>
            <w:webHidden/>
          </w:rPr>
        </w:r>
        <w:r w:rsidR="0073169A">
          <w:rPr>
            <w:noProof/>
            <w:webHidden/>
          </w:rPr>
          <w:fldChar w:fldCharType="separate"/>
        </w:r>
        <w:r w:rsidR="0073169A">
          <w:rPr>
            <w:noProof/>
            <w:webHidden/>
          </w:rPr>
          <w:t>22</w:t>
        </w:r>
        <w:r w:rsidR="0073169A">
          <w:rPr>
            <w:noProof/>
            <w:webHidden/>
          </w:rPr>
          <w:fldChar w:fldCharType="end"/>
        </w:r>
      </w:hyperlink>
    </w:p>
    <w:p w14:paraId="14D556FA"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50" w:history="1">
        <w:r w:rsidR="0073169A" w:rsidRPr="00775795">
          <w:rPr>
            <w:rStyle w:val="Hyperlink"/>
            <w:noProof/>
            <w:lang w:val="ro-RO"/>
          </w:rPr>
          <w:t>4.9.2.</w:t>
        </w:r>
        <w:r w:rsidR="0073169A">
          <w:rPr>
            <w:rFonts w:asciiTheme="minorHAnsi" w:eastAsiaTheme="minorEastAsia" w:hAnsiTheme="minorHAnsi" w:cstheme="minorBidi"/>
            <w:noProof/>
            <w:lang w:val="es-ES" w:eastAsia="es-ES"/>
          </w:rPr>
          <w:tab/>
        </w:r>
        <w:r w:rsidR="0073169A" w:rsidRPr="00775795">
          <w:rPr>
            <w:rStyle w:val="Hyperlink"/>
            <w:rFonts w:cs="Calibri"/>
            <w:noProof/>
            <w:bdr w:val="nil"/>
            <w:lang w:val="mk-MK" w:bidi="mk-MK"/>
          </w:rPr>
          <w:t>Управување со природните ресурси</w:t>
        </w:r>
        <w:r w:rsidR="0073169A">
          <w:rPr>
            <w:noProof/>
            <w:webHidden/>
          </w:rPr>
          <w:tab/>
        </w:r>
        <w:r w:rsidR="0073169A">
          <w:rPr>
            <w:noProof/>
            <w:webHidden/>
          </w:rPr>
          <w:fldChar w:fldCharType="begin"/>
        </w:r>
        <w:r w:rsidR="0073169A">
          <w:rPr>
            <w:noProof/>
            <w:webHidden/>
          </w:rPr>
          <w:instrText xml:space="preserve"> PAGEREF _Toc444009850 \h </w:instrText>
        </w:r>
        <w:r w:rsidR="0073169A">
          <w:rPr>
            <w:noProof/>
            <w:webHidden/>
          </w:rPr>
        </w:r>
        <w:r w:rsidR="0073169A">
          <w:rPr>
            <w:noProof/>
            <w:webHidden/>
          </w:rPr>
          <w:fldChar w:fldCharType="separate"/>
        </w:r>
        <w:r w:rsidR="0073169A">
          <w:rPr>
            <w:noProof/>
            <w:webHidden/>
          </w:rPr>
          <w:t>22</w:t>
        </w:r>
        <w:r w:rsidR="0073169A">
          <w:rPr>
            <w:noProof/>
            <w:webHidden/>
          </w:rPr>
          <w:fldChar w:fldCharType="end"/>
        </w:r>
      </w:hyperlink>
    </w:p>
    <w:p w14:paraId="57765F27"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51" w:history="1">
        <w:r w:rsidR="0073169A" w:rsidRPr="00775795">
          <w:rPr>
            <w:rStyle w:val="Hyperlink"/>
            <w:noProof/>
          </w:rPr>
          <w:t>5.</w:t>
        </w:r>
        <w:r w:rsidR="0073169A">
          <w:rPr>
            <w:rFonts w:asciiTheme="minorHAnsi" w:eastAsiaTheme="minorEastAsia" w:hAnsiTheme="minorHAnsi" w:cstheme="minorBidi"/>
            <w:b w:val="0"/>
            <w:noProof/>
            <w:sz w:val="22"/>
            <w:szCs w:val="22"/>
            <w:lang w:val="es-ES" w:eastAsia="es-ES"/>
          </w:rPr>
          <w:tab/>
        </w:r>
        <w:r w:rsidR="0073169A" w:rsidRPr="00775795">
          <w:rPr>
            <w:rStyle w:val="Hyperlink"/>
            <w:noProof/>
            <w:lang w:val="mk-MK"/>
          </w:rPr>
          <w:t>Инспекција</w:t>
        </w:r>
        <w:r w:rsidR="0073169A">
          <w:rPr>
            <w:noProof/>
            <w:webHidden/>
          </w:rPr>
          <w:tab/>
        </w:r>
        <w:r w:rsidR="0073169A">
          <w:rPr>
            <w:noProof/>
            <w:webHidden/>
          </w:rPr>
          <w:fldChar w:fldCharType="begin"/>
        </w:r>
        <w:r w:rsidR="0073169A">
          <w:rPr>
            <w:noProof/>
            <w:webHidden/>
          </w:rPr>
          <w:instrText xml:space="preserve"> PAGEREF _Toc444009851 \h </w:instrText>
        </w:r>
        <w:r w:rsidR="0073169A">
          <w:rPr>
            <w:noProof/>
            <w:webHidden/>
          </w:rPr>
        </w:r>
        <w:r w:rsidR="0073169A">
          <w:rPr>
            <w:noProof/>
            <w:webHidden/>
          </w:rPr>
          <w:fldChar w:fldCharType="separate"/>
        </w:r>
        <w:r w:rsidR="0073169A">
          <w:rPr>
            <w:noProof/>
            <w:webHidden/>
          </w:rPr>
          <w:t>23</w:t>
        </w:r>
        <w:r w:rsidR="0073169A">
          <w:rPr>
            <w:noProof/>
            <w:webHidden/>
          </w:rPr>
          <w:fldChar w:fldCharType="end"/>
        </w:r>
      </w:hyperlink>
    </w:p>
    <w:p w14:paraId="732D4D0E"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54" w:history="1">
        <w:r w:rsidR="0073169A" w:rsidRPr="00775795">
          <w:rPr>
            <w:rStyle w:val="Hyperlink"/>
            <w:noProof/>
            <w:lang w:val="ro-RO"/>
          </w:rPr>
          <w:t>5.1.</w:t>
        </w:r>
        <w:r w:rsidR="0073169A">
          <w:rPr>
            <w:rFonts w:asciiTheme="minorHAnsi" w:eastAsiaTheme="minorEastAsia" w:hAnsiTheme="minorHAnsi" w:cstheme="minorBidi"/>
            <w:noProof/>
            <w:lang w:val="es-ES" w:eastAsia="es-ES"/>
          </w:rPr>
          <w:tab/>
        </w:r>
        <w:r w:rsidR="0073169A" w:rsidRPr="00775795">
          <w:rPr>
            <w:rStyle w:val="Hyperlink"/>
            <w:noProof/>
            <w:lang w:val="mk-MK"/>
          </w:rPr>
          <w:t>Подготовка пред</w:t>
        </w:r>
        <w:r w:rsidR="0073169A" w:rsidRPr="00775795">
          <w:rPr>
            <w:rStyle w:val="Hyperlink"/>
            <w:noProof/>
            <w:lang w:val="ro-RO"/>
          </w:rPr>
          <w:t xml:space="preserve"> </w:t>
        </w:r>
        <w:r w:rsidR="0073169A" w:rsidRPr="00775795">
          <w:rPr>
            <w:rStyle w:val="Hyperlink"/>
            <w:noProof/>
            <w:lang w:val="mk-MK"/>
          </w:rPr>
          <w:t>инспекцијата</w:t>
        </w:r>
        <w:r w:rsidR="0073169A">
          <w:rPr>
            <w:noProof/>
            <w:webHidden/>
          </w:rPr>
          <w:tab/>
        </w:r>
        <w:r w:rsidR="0073169A">
          <w:rPr>
            <w:noProof/>
            <w:webHidden/>
          </w:rPr>
          <w:fldChar w:fldCharType="begin"/>
        </w:r>
        <w:r w:rsidR="0073169A">
          <w:rPr>
            <w:noProof/>
            <w:webHidden/>
          </w:rPr>
          <w:instrText xml:space="preserve"> PAGEREF _Toc444009854 \h </w:instrText>
        </w:r>
        <w:r w:rsidR="0073169A">
          <w:rPr>
            <w:noProof/>
            <w:webHidden/>
          </w:rPr>
        </w:r>
        <w:r w:rsidR="0073169A">
          <w:rPr>
            <w:noProof/>
            <w:webHidden/>
          </w:rPr>
          <w:fldChar w:fldCharType="separate"/>
        </w:r>
        <w:r w:rsidR="0073169A">
          <w:rPr>
            <w:noProof/>
            <w:webHidden/>
          </w:rPr>
          <w:t>23</w:t>
        </w:r>
        <w:r w:rsidR="0073169A">
          <w:rPr>
            <w:noProof/>
            <w:webHidden/>
          </w:rPr>
          <w:fldChar w:fldCharType="end"/>
        </w:r>
      </w:hyperlink>
    </w:p>
    <w:p w14:paraId="2BF215E3"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55" w:history="1">
        <w:r w:rsidR="0073169A" w:rsidRPr="00775795">
          <w:rPr>
            <w:rStyle w:val="Hyperlink"/>
            <w:noProof/>
            <w:lang w:val="el-GR"/>
          </w:rPr>
          <w:t>5.1.1.</w:t>
        </w:r>
        <w:r w:rsidR="0073169A">
          <w:rPr>
            <w:rFonts w:asciiTheme="minorHAnsi" w:eastAsiaTheme="minorEastAsia" w:hAnsiTheme="minorHAnsi" w:cstheme="minorBidi"/>
            <w:noProof/>
            <w:lang w:val="es-ES" w:eastAsia="es-ES"/>
          </w:rPr>
          <w:tab/>
        </w:r>
        <w:r w:rsidR="0073169A" w:rsidRPr="00775795">
          <w:rPr>
            <w:rStyle w:val="Hyperlink"/>
            <w:i/>
            <w:iCs/>
            <w:noProof/>
            <w:lang w:val="mk-MK"/>
          </w:rPr>
          <w:t>Одлучете за видот/времетраењето на инспекцијата</w:t>
        </w:r>
        <w:r w:rsidR="0073169A">
          <w:rPr>
            <w:noProof/>
            <w:webHidden/>
          </w:rPr>
          <w:tab/>
        </w:r>
        <w:r w:rsidR="0073169A">
          <w:rPr>
            <w:noProof/>
            <w:webHidden/>
          </w:rPr>
          <w:fldChar w:fldCharType="begin"/>
        </w:r>
        <w:r w:rsidR="0073169A">
          <w:rPr>
            <w:noProof/>
            <w:webHidden/>
          </w:rPr>
          <w:instrText xml:space="preserve"> PAGEREF _Toc444009855 \h </w:instrText>
        </w:r>
        <w:r w:rsidR="0073169A">
          <w:rPr>
            <w:noProof/>
            <w:webHidden/>
          </w:rPr>
        </w:r>
        <w:r w:rsidR="0073169A">
          <w:rPr>
            <w:noProof/>
            <w:webHidden/>
          </w:rPr>
          <w:fldChar w:fldCharType="separate"/>
        </w:r>
        <w:r w:rsidR="0073169A">
          <w:rPr>
            <w:noProof/>
            <w:webHidden/>
          </w:rPr>
          <w:t>23</w:t>
        </w:r>
        <w:r w:rsidR="0073169A">
          <w:rPr>
            <w:noProof/>
            <w:webHidden/>
          </w:rPr>
          <w:fldChar w:fldCharType="end"/>
        </w:r>
      </w:hyperlink>
    </w:p>
    <w:p w14:paraId="013E6C6D"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56" w:history="1">
        <w:r w:rsidR="0073169A" w:rsidRPr="00775795">
          <w:rPr>
            <w:rStyle w:val="Hyperlink"/>
            <w:noProof/>
            <w:lang w:val="mk-MK"/>
          </w:rPr>
          <w:t>5.1.2.</w:t>
        </w:r>
        <w:r w:rsidR="0073169A">
          <w:rPr>
            <w:rFonts w:asciiTheme="minorHAnsi" w:eastAsiaTheme="minorEastAsia" w:hAnsiTheme="minorHAnsi" w:cstheme="minorBidi"/>
            <w:noProof/>
            <w:lang w:val="es-ES" w:eastAsia="es-ES"/>
          </w:rPr>
          <w:tab/>
        </w:r>
        <w:r w:rsidR="0073169A" w:rsidRPr="00775795">
          <w:rPr>
            <w:rStyle w:val="Hyperlink"/>
            <w:noProof/>
            <w:lang w:val="mk-MK"/>
          </w:rPr>
          <w:t>Електронска (десктоп) студија во канцеларија -собирање на информации и податоци</w:t>
        </w:r>
        <w:r w:rsidR="0073169A">
          <w:rPr>
            <w:noProof/>
            <w:webHidden/>
          </w:rPr>
          <w:tab/>
        </w:r>
        <w:r w:rsidR="0073169A">
          <w:rPr>
            <w:noProof/>
            <w:webHidden/>
          </w:rPr>
          <w:fldChar w:fldCharType="begin"/>
        </w:r>
        <w:r w:rsidR="0073169A">
          <w:rPr>
            <w:noProof/>
            <w:webHidden/>
          </w:rPr>
          <w:instrText xml:space="preserve"> PAGEREF _Toc444009856 \h </w:instrText>
        </w:r>
        <w:r w:rsidR="0073169A">
          <w:rPr>
            <w:noProof/>
            <w:webHidden/>
          </w:rPr>
        </w:r>
        <w:r w:rsidR="0073169A">
          <w:rPr>
            <w:noProof/>
            <w:webHidden/>
          </w:rPr>
          <w:fldChar w:fldCharType="separate"/>
        </w:r>
        <w:r w:rsidR="0073169A">
          <w:rPr>
            <w:noProof/>
            <w:webHidden/>
          </w:rPr>
          <w:t>23</w:t>
        </w:r>
        <w:r w:rsidR="0073169A">
          <w:rPr>
            <w:noProof/>
            <w:webHidden/>
          </w:rPr>
          <w:fldChar w:fldCharType="end"/>
        </w:r>
      </w:hyperlink>
    </w:p>
    <w:p w14:paraId="52D24599"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57" w:history="1">
        <w:r w:rsidR="0073169A" w:rsidRPr="00775795">
          <w:rPr>
            <w:rStyle w:val="Hyperlink"/>
            <w:noProof/>
            <w:lang w:val="mk-MK"/>
          </w:rPr>
          <w:t>5.1.3.</w:t>
        </w:r>
        <w:r w:rsidR="0073169A">
          <w:rPr>
            <w:rFonts w:asciiTheme="minorHAnsi" w:eastAsiaTheme="minorEastAsia" w:hAnsiTheme="minorHAnsi" w:cstheme="minorBidi"/>
            <w:noProof/>
            <w:lang w:val="es-ES" w:eastAsia="es-ES"/>
          </w:rPr>
          <w:tab/>
        </w:r>
        <w:r w:rsidR="0073169A" w:rsidRPr="00775795">
          <w:rPr>
            <w:rStyle w:val="Hyperlink"/>
            <w:noProof/>
            <w:lang w:val="mk-MK"/>
          </w:rPr>
          <w:t>Обрасци за распоред/агенда на инспекцијата и листи за проверка</w:t>
        </w:r>
        <w:r w:rsidR="0073169A">
          <w:rPr>
            <w:noProof/>
            <w:webHidden/>
          </w:rPr>
          <w:tab/>
        </w:r>
        <w:r w:rsidR="0073169A">
          <w:rPr>
            <w:noProof/>
            <w:webHidden/>
          </w:rPr>
          <w:fldChar w:fldCharType="begin"/>
        </w:r>
        <w:r w:rsidR="0073169A">
          <w:rPr>
            <w:noProof/>
            <w:webHidden/>
          </w:rPr>
          <w:instrText xml:space="preserve"> PAGEREF _Toc444009857 \h </w:instrText>
        </w:r>
        <w:r w:rsidR="0073169A">
          <w:rPr>
            <w:noProof/>
            <w:webHidden/>
          </w:rPr>
        </w:r>
        <w:r w:rsidR="0073169A">
          <w:rPr>
            <w:noProof/>
            <w:webHidden/>
          </w:rPr>
          <w:fldChar w:fldCharType="separate"/>
        </w:r>
        <w:r w:rsidR="0073169A">
          <w:rPr>
            <w:noProof/>
            <w:webHidden/>
          </w:rPr>
          <w:t>24</w:t>
        </w:r>
        <w:r w:rsidR="0073169A">
          <w:rPr>
            <w:noProof/>
            <w:webHidden/>
          </w:rPr>
          <w:fldChar w:fldCharType="end"/>
        </w:r>
      </w:hyperlink>
    </w:p>
    <w:p w14:paraId="67C4DAAB"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58" w:history="1">
        <w:r w:rsidR="0073169A" w:rsidRPr="00775795">
          <w:rPr>
            <w:rStyle w:val="Hyperlink"/>
            <w:noProof/>
            <w:lang w:val="el-GR"/>
          </w:rPr>
          <w:t>5.1.4.</w:t>
        </w:r>
        <w:r w:rsidR="0073169A">
          <w:rPr>
            <w:rFonts w:asciiTheme="minorHAnsi" w:eastAsiaTheme="minorEastAsia" w:hAnsiTheme="minorHAnsi" w:cstheme="minorBidi"/>
            <w:noProof/>
            <w:lang w:val="es-ES" w:eastAsia="es-ES"/>
          </w:rPr>
          <w:tab/>
        </w:r>
        <w:r w:rsidR="0073169A" w:rsidRPr="00775795">
          <w:rPr>
            <w:rStyle w:val="Hyperlink"/>
            <w:noProof/>
            <w:lang w:val="mk-MK"/>
          </w:rPr>
          <w:t>Претходно известување на операторот</w:t>
        </w:r>
        <w:r w:rsidR="0073169A">
          <w:rPr>
            <w:noProof/>
            <w:webHidden/>
          </w:rPr>
          <w:tab/>
        </w:r>
        <w:r w:rsidR="0073169A">
          <w:rPr>
            <w:noProof/>
            <w:webHidden/>
          </w:rPr>
          <w:fldChar w:fldCharType="begin"/>
        </w:r>
        <w:r w:rsidR="0073169A">
          <w:rPr>
            <w:noProof/>
            <w:webHidden/>
          </w:rPr>
          <w:instrText xml:space="preserve"> PAGEREF _Toc444009858 \h </w:instrText>
        </w:r>
        <w:r w:rsidR="0073169A">
          <w:rPr>
            <w:noProof/>
            <w:webHidden/>
          </w:rPr>
        </w:r>
        <w:r w:rsidR="0073169A">
          <w:rPr>
            <w:noProof/>
            <w:webHidden/>
          </w:rPr>
          <w:fldChar w:fldCharType="separate"/>
        </w:r>
        <w:r w:rsidR="0073169A">
          <w:rPr>
            <w:noProof/>
            <w:webHidden/>
          </w:rPr>
          <w:t>25</w:t>
        </w:r>
        <w:r w:rsidR="0073169A">
          <w:rPr>
            <w:noProof/>
            <w:webHidden/>
          </w:rPr>
          <w:fldChar w:fldCharType="end"/>
        </w:r>
      </w:hyperlink>
    </w:p>
    <w:p w14:paraId="0605C07F"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59" w:history="1">
        <w:r w:rsidR="0073169A" w:rsidRPr="00775795">
          <w:rPr>
            <w:rStyle w:val="Hyperlink"/>
            <w:noProof/>
            <w:lang w:val="ro-RO"/>
          </w:rPr>
          <w:t>5.2.</w:t>
        </w:r>
        <w:r w:rsidR="0073169A">
          <w:rPr>
            <w:rFonts w:asciiTheme="minorHAnsi" w:eastAsiaTheme="minorEastAsia" w:hAnsiTheme="minorHAnsi" w:cstheme="minorBidi"/>
            <w:noProof/>
            <w:lang w:val="es-ES" w:eastAsia="es-ES"/>
          </w:rPr>
          <w:tab/>
        </w:r>
        <w:r w:rsidR="0073169A" w:rsidRPr="00775795">
          <w:rPr>
            <w:rStyle w:val="Hyperlink"/>
            <w:noProof/>
            <w:lang w:val="mk-MK"/>
          </w:rPr>
          <w:t>Инспекција на лице место</w:t>
        </w:r>
        <w:r w:rsidR="0073169A">
          <w:rPr>
            <w:noProof/>
            <w:webHidden/>
          </w:rPr>
          <w:tab/>
        </w:r>
        <w:r w:rsidR="0073169A">
          <w:rPr>
            <w:noProof/>
            <w:webHidden/>
          </w:rPr>
          <w:fldChar w:fldCharType="begin"/>
        </w:r>
        <w:r w:rsidR="0073169A">
          <w:rPr>
            <w:noProof/>
            <w:webHidden/>
          </w:rPr>
          <w:instrText xml:space="preserve"> PAGEREF _Toc444009859 \h </w:instrText>
        </w:r>
        <w:r w:rsidR="0073169A">
          <w:rPr>
            <w:noProof/>
            <w:webHidden/>
          </w:rPr>
        </w:r>
        <w:r w:rsidR="0073169A">
          <w:rPr>
            <w:noProof/>
            <w:webHidden/>
          </w:rPr>
          <w:fldChar w:fldCharType="separate"/>
        </w:r>
        <w:r w:rsidR="0073169A">
          <w:rPr>
            <w:noProof/>
            <w:webHidden/>
          </w:rPr>
          <w:t>25</w:t>
        </w:r>
        <w:r w:rsidR="0073169A">
          <w:rPr>
            <w:noProof/>
            <w:webHidden/>
          </w:rPr>
          <w:fldChar w:fldCharType="end"/>
        </w:r>
      </w:hyperlink>
    </w:p>
    <w:p w14:paraId="25B66A9B"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60" w:history="1">
        <w:r w:rsidR="0073169A" w:rsidRPr="00775795">
          <w:rPr>
            <w:rStyle w:val="Hyperlink"/>
            <w:noProof/>
            <w:lang w:val="ro-RO"/>
          </w:rPr>
          <w:t>5.2.1.</w:t>
        </w:r>
        <w:r w:rsidR="0073169A">
          <w:rPr>
            <w:rFonts w:asciiTheme="minorHAnsi" w:eastAsiaTheme="minorEastAsia" w:hAnsiTheme="minorHAnsi" w:cstheme="minorBidi"/>
            <w:noProof/>
            <w:lang w:val="es-ES" w:eastAsia="es-ES"/>
          </w:rPr>
          <w:tab/>
        </w:r>
        <w:r w:rsidR="0073169A" w:rsidRPr="00775795">
          <w:rPr>
            <w:rStyle w:val="Hyperlink"/>
            <w:noProof/>
            <w:lang w:val="mk-MK"/>
          </w:rPr>
          <w:t>Општи одредби што треба да се земат предвид</w:t>
        </w:r>
        <w:r w:rsidR="0073169A">
          <w:rPr>
            <w:noProof/>
            <w:webHidden/>
          </w:rPr>
          <w:tab/>
        </w:r>
        <w:r w:rsidR="0073169A">
          <w:rPr>
            <w:noProof/>
            <w:webHidden/>
          </w:rPr>
          <w:fldChar w:fldCharType="begin"/>
        </w:r>
        <w:r w:rsidR="0073169A">
          <w:rPr>
            <w:noProof/>
            <w:webHidden/>
          </w:rPr>
          <w:instrText xml:space="preserve"> PAGEREF _Toc444009860 \h </w:instrText>
        </w:r>
        <w:r w:rsidR="0073169A">
          <w:rPr>
            <w:noProof/>
            <w:webHidden/>
          </w:rPr>
        </w:r>
        <w:r w:rsidR="0073169A">
          <w:rPr>
            <w:noProof/>
            <w:webHidden/>
          </w:rPr>
          <w:fldChar w:fldCharType="separate"/>
        </w:r>
        <w:r w:rsidR="0073169A">
          <w:rPr>
            <w:noProof/>
            <w:webHidden/>
          </w:rPr>
          <w:t>25</w:t>
        </w:r>
        <w:r w:rsidR="0073169A">
          <w:rPr>
            <w:noProof/>
            <w:webHidden/>
          </w:rPr>
          <w:fldChar w:fldCharType="end"/>
        </w:r>
      </w:hyperlink>
    </w:p>
    <w:p w14:paraId="62248510" w14:textId="77777777" w:rsidR="0073169A" w:rsidRDefault="00AB34B7">
      <w:pPr>
        <w:pStyle w:val="TOC4"/>
        <w:tabs>
          <w:tab w:val="left" w:pos="1760"/>
          <w:tab w:val="right" w:pos="9062"/>
        </w:tabs>
        <w:rPr>
          <w:rFonts w:asciiTheme="minorHAnsi" w:eastAsiaTheme="minorEastAsia" w:hAnsiTheme="minorHAnsi" w:cstheme="minorBidi"/>
          <w:noProof/>
          <w:lang w:val="es-ES" w:eastAsia="es-ES"/>
        </w:rPr>
      </w:pPr>
      <w:hyperlink w:anchor="_Toc444009861" w:history="1">
        <w:r w:rsidR="0073169A" w:rsidRPr="00775795">
          <w:rPr>
            <w:rStyle w:val="Hyperlink"/>
            <w:noProof/>
          </w:rPr>
          <w:t>5.2.1.1.</w:t>
        </w:r>
        <w:r w:rsidR="0073169A">
          <w:rPr>
            <w:rFonts w:asciiTheme="minorHAnsi" w:eastAsiaTheme="minorEastAsia" w:hAnsiTheme="minorHAnsi" w:cstheme="minorBidi"/>
            <w:noProof/>
            <w:lang w:val="es-ES" w:eastAsia="es-ES"/>
          </w:rPr>
          <w:tab/>
        </w:r>
        <w:r w:rsidR="0073169A" w:rsidRPr="00775795">
          <w:rPr>
            <w:rStyle w:val="Hyperlink"/>
            <w:noProof/>
            <w:lang w:val="mk-MK"/>
          </w:rPr>
          <w:t>Најдобри достапни техники (НДТ)</w:t>
        </w:r>
        <w:r w:rsidR="0073169A">
          <w:rPr>
            <w:noProof/>
            <w:webHidden/>
          </w:rPr>
          <w:tab/>
        </w:r>
        <w:r w:rsidR="0073169A">
          <w:rPr>
            <w:noProof/>
            <w:webHidden/>
          </w:rPr>
          <w:fldChar w:fldCharType="begin"/>
        </w:r>
        <w:r w:rsidR="0073169A">
          <w:rPr>
            <w:noProof/>
            <w:webHidden/>
          </w:rPr>
          <w:instrText xml:space="preserve"> PAGEREF _Toc444009861 \h </w:instrText>
        </w:r>
        <w:r w:rsidR="0073169A">
          <w:rPr>
            <w:noProof/>
            <w:webHidden/>
          </w:rPr>
        </w:r>
        <w:r w:rsidR="0073169A">
          <w:rPr>
            <w:noProof/>
            <w:webHidden/>
          </w:rPr>
          <w:fldChar w:fldCharType="separate"/>
        </w:r>
        <w:r w:rsidR="0073169A">
          <w:rPr>
            <w:noProof/>
            <w:webHidden/>
          </w:rPr>
          <w:t>25</w:t>
        </w:r>
        <w:r w:rsidR="0073169A">
          <w:rPr>
            <w:noProof/>
            <w:webHidden/>
          </w:rPr>
          <w:fldChar w:fldCharType="end"/>
        </w:r>
      </w:hyperlink>
    </w:p>
    <w:p w14:paraId="2E119EF7"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62" w:history="1">
        <w:r w:rsidR="0073169A" w:rsidRPr="00775795">
          <w:rPr>
            <w:rStyle w:val="Hyperlink"/>
            <w:noProof/>
            <w:lang w:val="ro-RO"/>
          </w:rPr>
          <w:t>5.2.2.</w:t>
        </w:r>
        <w:r w:rsidR="0073169A">
          <w:rPr>
            <w:rFonts w:asciiTheme="minorHAnsi" w:eastAsiaTheme="minorEastAsia" w:hAnsiTheme="minorHAnsi" w:cstheme="minorBidi"/>
            <w:noProof/>
            <w:lang w:val="es-ES" w:eastAsia="es-ES"/>
          </w:rPr>
          <w:tab/>
        </w:r>
        <w:r w:rsidR="0073169A" w:rsidRPr="00775795">
          <w:rPr>
            <w:rStyle w:val="Hyperlink"/>
            <w:noProof/>
            <w:lang w:val="mk-MK"/>
          </w:rPr>
          <w:t>Главни прашања за инспекција</w:t>
        </w:r>
        <w:r w:rsidR="0073169A">
          <w:rPr>
            <w:noProof/>
            <w:webHidden/>
          </w:rPr>
          <w:tab/>
        </w:r>
        <w:r w:rsidR="0073169A">
          <w:rPr>
            <w:noProof/>
            <w:webHidden/>
          </w:rPr>
          <w:fldChar w:fldCharType="begin"/>
        </w:r>
        <w:r w:rsidR="0073169A">
          <w:rPr>
            <w:noProof/>
            <w:webHidden/>
          </w:rPr>
          <w:instrText xml:space="preserve"> PAGEREF _Toc444009862 \h </w:instrText>
        </w:r>
        <w:r w:rsidR="0073169A">
          <w:rPr>
            <w:noProof/>
            <w:webHidden/>
          </w:rPr>
        </w:r>
        <w:r w:rsidR="0073169A">
          <w:rPr>
            <w:noProof/>
            <w:webHidden/>
          </w:rPr>
          <w:fldChar w:fldCharType="separate"/>
        </w:r>
        <w:r w:rsidR="0073169A">
          <w:rPr>
            <w:noProof/>
            <w:webHidden/>
          </w:rPr>
          <w:t>26</w:t>
        </w:r>
        <w:r w:rsidR="0073169A">
          <w:rPr>
            <w:noProof/>
            <w:webHidden/>
          </w:rPr>
          <w:fldChar w:fldCharType="end"/>
        </w:r>
      </w:hyperlink>
    </w:p>
    <w:p w14:paraId="750C2FA3"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63" w:history="1">
        <w:r w:rsidR="0073169A" w:rsidRPr="00775795">
          <w:rPr>
            <w:rStyle w:val="Hyperlink"/>
            <w:noProof/>
            <w:lang w:val="ro-RO"/>
          </w:rPr>
          <w:t>5.2.3.</w:t>
        </w:r>
        <w:r w:rsidR="0073169A">
          <w:rPr>
            <w:rFonts w:asciiTheme="minorHAnsi" w:eastAsiaTheme="minorEastAsia" w:hAnsiTheme="minorHAnsi" w:cstheme="minorBidi"/>
            <w:noProof/>
            <w:lang w:val="es-ES" w:eastAsia="es-ES"/>
          </w:rPr>
          <w:tab/>
        </w:r>
        <w:r w:rsidR="0073169A" w:rsidRPr="00775795">
          <w:rPr>
            <w:rStyle w:val="Hyperlink"/>
            <w:noProof/>
            <w:lang w:val="mk-MK"/>
          </w:rPr>
          <w:t>Опструкции од страна на опараторот</w:t>
        </w:r>
        <w:r w:rsidR="0073169A">
          <w:rPr>
            <w:noProof/>
            <w:webHidden/>
          </w:rPr>
          <w:tab/>
        </w:r>
        <w:r w:rsidR="0073169A">
          <w:rPr>
            <w:noProof/>
            <w:webHidden/>
          </w:rPr>
          <w:fldChar w:fldCharType="begin"/>
        </w:r>
        <w:r w:rsidR="0073169A">
          <w:rPr>
            <w:noProof/>
            <w:webHidden/>
          </w:rPr>
          <w:instrText xml:space="preserve"> PAGEREF _Toc444009863 \h </w:instrText>
        </w:r>
        <w:r w:rsidR="0073169A">
          <w:rPr>
            <w:noProof/>
            <w:webHidden/>
          </w:rPr>
        </w:r>
        <w:r w:rsidR="0073169A">
          <w:rPr>
            <w:noProof/>
            <w:webHidden/>
          </w:rPr>
          <w:fldChar w:fldCharType="separate"/>
        </w:r>
        <w:r w:rsidR="0073169A">
          <w:rPr>
            <w:noProof/>
            <w:webHidden/>
          </w:rPr>
          <w:t>28</w:t>
        </w:r>
        <w:r w:rsidR="0073169A">
          <w:rPr>
            <w:noProof/>
            <w:webHidden/>
          </w:rPr>
          <w:fldChar w:fldCharType="end"/>
        </w:r>
      </w:hyperlink>
    </w:p>
    <w:p w14:paraId="6F8C6C1C" w14:textId="77777777" w:rsidR="0073169A" w:rsidRDefault="00AB34B7">
      <w:pPr>
        <w:pStyle w:val="TOC2"/>
        <w:tabs>
          <w:tab w:val="left" w:pos="880"/>
          <w:tab w:val="right" w:pos="9062"/>
        </w:tabs>
        <w:rPr>
          <w:rFonts w:asciiTheme="minorHAnsi" w:eastAsiaTheme="minorEastAsia" w:hAnsiTheme="minorHAnsi" w:cstheme="minorBidi"/>
          <w:noProof/>
          <w:lang w:val="es-ES" w:eastAsia="es-ES"/>
        </w:rPr>
      </w:pPr>
      <w:hyperlink w:anchor="_Toc444009864" w:history="1">
        <w:r w:rsidR="0073169A" w:rsidRPr="00775795">
          <w:rPr>
            <w:rStyle w:val="Hyperlink"/>
            <w:noProof/>
            <w:lang w:val="ro-RO"/>
          </w:rPr>
          <w:t>5.3.</w:t>
        </w:r>
        <w:r w:rsidR="0073169A">
          <w:rPr>
            <w:rFonts w:asciiTheme="minorHAnsi" w:eastAsiaTheme="minorEastAsia" w:hAnsiTheme="minorHAnsi" w:cstheme="minorBidi"/>
            <w:noProof/>
            <w:lang w:val="es-ES" w:eastAsia="es-ES"/>
          </w:rPr>
          <w:tab/>
        </w:r>
        <w:r w:rsidR="0073169A" w:rsidRPr="00775795">
          <w:rPr>
            <w:rStyle w:val="Hyperlink"/>
            <w:noProof/>
            <w:lang w:val="mk-MK"/>
          </w:rPr>
          <w:t>После инспекцијата</w:t>
        </w:r>
        <w:r w:rsidR="0073169A">
          <w:rPr>
            <w:noProof/>
            <w:webHidden/>
          </w:rPr>
          <w:tab/>
        </w:r>
        <w:r w:rsidR="0073169A">
          <w:rPr>
            <w:noProof/>
            <w:webHidden/>
          </w:rPr>
          <w:fldChar w:fldCharType="begin"/>
        </w:r>
        <w:r w:rsidR="0073169A">
          <w:rPr>
            <w:noProof/>
            <w:webHidden/>
          </w:rPr>
          <w:instrText xml:space="preserve"> PAGEREF _Toc444009864 \h </w:instrText>
        </w:r>
        <w:r w:rsidR="0073169A">
          <w:rPr>
            <w:noProof/>
            <w:webHidden/>
          </w:rPr>
        </w:r>
        <w:r w:rsidR="0073169A">
          <w:rPr>
            <w:noProof/>
            <w:webHidden/>
          </w:rPr>
          <w:fldChar w:fldCharType="separate"/>
        </w:r>
        <w:r w:rsidR="0073169A">
          <w:rPr>
            <w:noProof/>
            <w:webHidden/>
          </w:rPr>
          <w:t>29</w:t>
        </w:r>
        <w:r w:rsidR="0073169A">
          <w:rPr>
            <w:noProof/>
            <w:webHidden/>
          </w:rPr>
          <w:fldChar w:fldCharType="end"/>
        </w:r>
      </w:hyperlink>
    </w:p>
    <w:p w14:paraId="791C5D96"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65" w:history="1">
        <w:r w:rsidR="0073169A" w:rsidRPr="00775795">
          <w:rPr>
            <w:rStyle w:val="Hyperlink"/>
            <w:noProof/>
            <w:lang w:val="ro-RO"/>
          </w:rPr>
          <w:t>5.3.1.</w:t>
        </w:r>
        <w:r w:rsidR="0073169A">
          <w:rPr>
            <w:rFonts w:asciiTheme="minorHAnsi" w:eastAsiaTheme="minorEastAsia" w:hAnsiTheme="minorHAnsi" w:cstheme="minorBidi"/>
            <w:noProof/>
            <w:lang w:val="es-ES" w:eastAsia="es-ES"/>
          </w:rPr>
          <w:tab/>
        </w:r>
        <w:r w:rsidR="0073169A" w:rsidRPr="00775795">
          <w:rPr>
            <w:rStyle w:val="Hyperlink"/>
            <w:noProof/>
            <w:lang w:val="mk-MK"/>
          </w:rPr>
          <w:t>Инспекциски извештај</w:t>
        </w:r>
        <w:r w:rsidR="0073169A">
          <w:rPr>
            <w:noProof/>
            <w:webHidden/>
          </w:rPr>
          <w:tab/>
        </w:r>
        <w:r w:rsidR="0073169A">
          <w:rPr>
            <w:noProof/>
            <w:webHidden/>
          </w:rPr>
          <w:fldChar w:fldCharType="begin"/>
        </w:r>
        <w:r w:rsidR="0073169A">
          <w:rPr>
            <w:noProof/>
            <w:webHidden/>
          </w:rPr>
          <w:instrText xml:space="preserve"> PAGEREF _Toc444009865 \h </w:instrText>
        </w:r>
        <w:r w:rsidR="0073169A">
          <w:rPr>
            <w:noProof/>
            <w:webHidden/>
          </w:rPr>
        </w:r>
        <w:r w:rsidR="0073169A">
          <w:rPr>
            <w:noProof/>
            <w:webHidden/>
          </w:rPr>
          <w:fldChar w:fldCharType="separate"/>
        </w:r>
        <w:r w:rsidR="0073169A">
          <w:rPr>
            <w:noProof/>
            <w:webHidden/>
          </w:rPr>
          <w:t>29</w:t>
        </w:r>
        <w:r w:rsidR="0073169A">
          <w:rPr>
            <w:noProof/>
            <w:webHidden/>
          </w:rPr>
          <w:fldChar w:fldCharType="end"/>
        </w:r>
      </w:hyperlink>
    </w:p>
    <w:p w14:paraId="503F4797" w14:textId="77777777" w:rsidR="0073169A" w:rsidRDefault="00AB34B7">
      <w:pPr>
        <w:pStyle w:val="TOC3"/>
        <w:tabs>
          <w:tab w:val="left" w:pos="1320"/>
          <w:tab w:val="right" w:pos="9062"/>
        </w:tabs>
        <w:rPr>
          <w:rFonts w:asciiTheme="minorHAnsi" w:eastAsiaTheme="minorEastAsia" w:hAnsiTheme="minorHAnsi" w:cstheme="minorBidi"/>
          <w:noProof/>
          <w:lang w:val="es-ES" w:eastAsia="es-ES"/>
        </w:rPr>
      </w:pPr>
      <w:hyperlink w:anchor="_Toc444009866" w:history="1">
        <w:r w:rsidR="0073169A" w:rsidRPr="00775795">
          <w:rPr>
            <w:rStyle w:val="Hyperlink"/>
            <w:noProof/>
            <w:lang w:val="ro-RO"/>
          </w:rPr>
          <w:t>5.3.2.</w:t>
        </w:r>
        <w:r w:rsidR="0073169A">
          <w:rPr>
            <w:rFonts w:asciiTheme="minorHAnsi" w:eastAsiaTheme="minorEastAsia" w:hAnsiTheme="minorHAnsi" w:cstheme="minorBidi"/>
            <w:noProof/>
            <w:lang w:val="es-ES" w:eastAsia="es-ES"/>
          </w:rPr>
          <w:tab/>
        </w:r>
        <w:r w:rsidR="0073169A" w:rsidRPr="00775795">
          <w:rPr>
            <w:rStyle w:val="Hyperlink"/>
            <w:noProof/>
            <w:lang w:val="mk-MK"/>
          </w:rPr>
          <w:t>Инспекциски снимки /записи</w:t>
        </w:r>
        <w:r w:rsidR="0073169A">
          <w:rPr>
            <w:noProof/>
            <w:webHidden/>
          </w:rPr>
          <w:tab/>
        </w:r>
        <w:r w:rsidR="0073169A">
          <w:rPr>
            <w:noProof/>
            <w:webHidden/>
          </w:rPr>
          <w:fldChar w:fldCharType="begin"/>
        </w:r>
        <w:r w:rsidR="0073169A">
          <w:rPr>
            <w:noProof/>
            <w:webHidden/>
          </w:rPr>
          <w:instrText xml:space="preserve"> PAGEREF _Toc444009866 \h </w:instrText>
        </w:r>
        <w:r w:rsidR="0073169A">
          <w:rPr>
            <w:noProof/>
            <w:webHidden/>
          </w:rPr>
        </w:r>
        <w:r w:rsidR="0073169A">
          <w:rPr>
            <w:noProof/>
            <w:webHidden/>
          </w:rPr>
          <w:fldChar w:fldCharType="separate"/>
        </w:r>
        <w:r w:rsidR="0073169A">
          <w:rPr>
            <w:noProof/>
            <w:webHidden/>
          </w:rPr>
          <w:t>30</w:t>
        </w:r>
        <w:r w:rsidR="0073169A">
          <w:rPr>
            <w:noProof/>
            <w:webHidden/>
          </w:rPr>
          <w:fldChar w:fldCharType="end"/>
        </w:r>
      </w:hyperlink>
    </w:p>
    <w:p w14:paraId="26AA4EB0" w14:textId="77777777" w:rsidR="0073169A" w:rsidRDefault="00AB34B7">
      <w:pPr>
        <w:pStyle w:val="TOC3"/>
        <w:tabs>
          <w:tab w:val="right" w:pos="9062"/>
        </w:tabs>
        <w:rPr>
          <w:rFonts w:asciiTheme="minorHAnsi" w:eastAsiaTheme="minorEastAsia" w:hAnsiTheme="minorHAnsi" w:cstheme="minorBidi"/>
          <w:noProof/>
          <w:lang w:val="es-ES" w:eastAsia="es-ES"/>
        </w:rPr>
      </w:pPr>
      <w:hyperlink w:anchor="_Toc444009867" w:history="1">
        <w:r w:rsidR="0073169A" w:rsidRPr="00775795">
          <w:rPr>
            <w:rStyle w:val="Hyperlink"/>
            <w:noProof/>
            <w:lang w:val="mk-MK"/>
          </w:rPr>
          <w:t>Извештајот од инспекцијат и сите други дополнителни материјал кои се користат за подготовка на инспекцијата мора да се чуваат и да се достапни за сите релевантни органи за нивна информација.</w:t>
        </w:r>
        <w:r w:rsidR="0073169A">
          <w:rPr>
            <w:noProof/>
            <w:webHidden/>
          </w:rPr>
          <w:tab/>
        </w:r>
        <w:r w:rsidR="0073169A">
          <w:rPr>
            <w:noProof/>
            <w:webHidden/>
          </w:rPr>
          <w:fldChar w:fldCharType="begin"/>
        </w:r>
        <w:r w:rsidR="0073169A">
          <w:rPr>
            <w:noProof/>
            <w:webHidden/>
          </w:rPr>
          <w:instrText xml:space="preserve"> PAGEREF _Toc444009867 \h </w:instrText>
        </w:r>
        <w:r w:rsidR="0073169A">
          <w:rPr>
            <w:noProof/>
            <w:webHidden/>
          </w:rPr>
        </w:r>
        <w:r w:rsidR="0073169A">
          <w:rPr>
            <w:noProof/>
            <w:webHidden/>
          </w:rPr>
          <w:fldChar w:fldCharType="separate"/>
        </w:r>
        <w:r w:rsidR="0073169A">
          <w:rPr>
            <w:noProof/>
            <w:webHidden/>
          </w:rPr>
          <w:t>30</w:t>
        </w:r>
        <w:r w:rsidR="0073169A">
          <w:rPr>
            <w:noProof/>
            <w:webHidden/>
          </w:rPr>
          <w:fldChar w:fldCharType="end"/>
        </w:r>
      </w:hyperlink>
    </w:p>
    <w:p w14:paraId="6E997FD0"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69" w:history="1">
        <w:r w:rsidR="0073169A" w:rsidRPr="00775795">
          <w:rPr>
            <w:rStyle w:val="Hyperlink"/>
            <w:rFonts w:eastAsia="Calibri" w:cs="Calibri"/>
            <w:iCs/>
            <w:noProof/>
            <w:bdr w:val="nil"/>
            <w:lang w:val="mk-MK" w:bidi="mk-MK"/>
          </w:rPr>
          <w:t>Анекс 1: Корисни референтни документи и линкови</w:t>
        </w:r>
        <w:r w:rsidR="0073169A">
          <w:rPr>
            <w:noProof/>
            <w:webHidden/>
          </w:rPr>
          <w:tab/>
        </w:r>
        <w:r w:rsidR="0073169A">
          <w:rPr>
            <w:noProof/>
            <w:webHidden/>
          </w:rPr>
          <w:fldChar w:fldCharType="begin"/>
        </w:r>
        <w:r w:rsidR="0073169A">
          <w:rPr>
            <w:noProof/>
            <w:webHidden/>
          </w:rPr>
          <w:instrText xml:space="preserve"> PAGEREF _Toc444009869 \h </w:instrText>
        </w:r>
        <w:r w:rsidR="0073169A">
          <w:rPr>
            <w:noProof/>
            <w:webHidden/>
          </w:rPr>
        </w:r>
        <w:r w:rsidR="0073169A">
          <w:rPr>
            <w:noProof/>
            <w:webHidden/>
          </w:rPr>
          <w:fldChar w:fldCharType="separate"/>
        </w:r>
        <w:r w:rsidR="0073169A">
          <w:rPr>
            <w:noProof/>
            <w:webHidden/>
          </w:rPr>
          <w:t>31</w:t>
        </w:r>
        <w:r w:rsidR="0073169A">
          <w:rPr>
            <w:noProof/>
            <w:webHidden/>
          </w:rPr>
          <w:fldChar w:fldCharType="end"/>
        </w:r>
      </w:hyperlink>
    </w:p>
    <w:p w14:paraId="11C95284"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70" w:history="1">
        <w:r w:rsidR="0073169A" w:rsidRPr="00775795">
          <w:rPr>
            <w:rStyle w:val="Hyperlink"/>
            <w:noProof/>
            <w:lang w:val="mk-MK"/>
          </w:rPr>
          <w:t>Анекс 2: Образец за инспекциски распоред/агенда</w:t>
        </w:r>
        <w:r w:rsidR="0073169A">
          <w:rPr>
            <w:noProof/>
            <w:webHidden/>
          </w:rPr>
          <w:tab/>
        </w:r>
        <w:r w:rsidR="0073169A">
          <w:rPr>
            <w:noProof/>
            <w:webHidden/>
          </w:rPr>
          <w:fldChar w:fldCharType="begin"/>
        </w:r>
        <w:r w:rsidR="0073169A">
          <w:rPr>
            <w:noProof/>
            <w:webHidden/>
          </w:rPr>
          <w:instrText xml:space="preserve"> PAGEREF _Toc444009870 \h </w:instrText>
        </w:r>
        <w:r w:rsidR="0073169A">
          <w:rPr>
            <w:noProof/>
            <w:webHidden/>
          </w:rPr>
        </w:r>
        <w:r w:rsidR="0073169A">
          <w:rPr>
            <w:noProof/>
            <w:webHidden/>
          </w:rPr>
          <w:fldChar w:fldCharType="separate"/>
        </w:r>
        <w:r w:rsidR="0073169A">
          <w:rPr>
            <w:noProof/>
            <w:webHidden/>
          </w:rPr>
          <w:t>32</w:t>
        </w:r>
        <w:r w:rsidR="0073169A">
          <w:rPr>
            <w:noProof/>
            <w:webHidden/>
          </w:rPr>
          <w:fldChar w:fldCharType="end"/>
        </w:r>
      </w:hyperlink>
    </w:p>
    <w:p w14:paraId="736F407B"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71" w:history="1">
        <w:r w:rsidR="0073169A" w:rsidRPr="00775795">
          <w:rPr>
            <w:rStyle w:val="Hyperlink"/>
            <w:rFonts w:eastAsia="Calibri" w:cs="Calibri"/>
            <w:iCs/>
            <w:noProof/>
            <w:bdr w:val="nil"/>
            <w:lang w:val="mk-MK" w:bidi="mk-MK"/>
          </w:rPr>
          <w:t>Анекс 3: Секторска терминологија</w:t>
        </w:r>
        <w:r w:rsidR="0073169A">
          <w:rPr>
            <w:noProof/>
            <w:webHidden/>
          </w:rPr>
          <w:tab/>
        </w:r>
        <w:r w:rsidR="0073169A">
          <w:rPr>
            <w:noProof/>
            <w:webHidden/>
          </w:rPr>
          <w:fldChar w:fldCharType="begin"/>
        </w:r>
        <w:r w:rsidR="0073169A">
          <w:rPr>
            <w:noProof/>
            <w:webHidden/>
          </w:rPr>
          <w:instrText xml:space="preserve"> PAGEREF _Toc444009871 \h </w:instrText>
        </w:r>
        <w:r w:rsidR="0073169A">
          <w:rPr>
            <w:noProof/>
            <w:webHidden/>
          </w:rPr>
        </w:r>
        <w:r w:rsidR="0073169A">
          <w:rPr>
            <w:noProof/>
            <w:webHidden/>
          </w:rPr>
          <w:fldChar w:fldCharType="separate"/>
        </w:r>
        <w:r w:rsidR="0073169A">
          <w:rPr>
            <w:noProof/>
            <w:webHidden/>
          </w:rPr>
          <w:t>34</w:t>
        </w:r>
        <w:r w:rsidR="0073169A">
          <w:rPr>
            <w:noProof/>
            <w:webHidden/>
          </w:rPr>
          <w:fldChar w:fldCharType="end"/>
        </w:r>
      </w:hyperlink>
    </w:p>
    <w:p w14:paraId="0E09A72C" w14:textId="77777777" w:rsidR="0073169A" w:rsidRDefault="00AB34B7">
      <w:pPr>
        <w:pStyle w:val="TOC1"/>
        <w:rPr>
          <w:rFonts w:asciiTheme="minorHAnsi" w:eastAsiaTheme="minorEastAsia" w:hAnsiTheme="minorHAnsi" w:cstheme="minorBidi"/>
          <w:b w:val="0"/>
          <w:noProof/>
          <w:sz w:val="22"/>
          <w:szCs w:val="22"/>
          <w:lang w:val="es-ES" w:eastAsia="es-ES"/>
        </w:rPr>
      </w:pPr>
      <w:hyperlink w:anchor="_Toc444009872" w:history="1">
        <w:r w:rsidR="0073169A" w:rsidRPr="00775795">
          <w:rPr>
            <w:rStyle w:val="Hyperlink"/>
            <w:rFonts w:eastAsia="Calibri" w:cs="Calibri"/>
            <w:iCs/>
            <w:noProof/>
            <w:bdr w:val="nil"/>
            <w:lang w:val="mk-MK" w:bidi="mk-MK"/>
          </w:rPr>
          <w:t>Анекс 4: Листа за проверка за инспекција во секторот: Големи постројки за согорување</w:t>
        </w:r>
        <w:r w:rsidR="0073169A">
          <w:rPr>
            <w:noProof/>
            <w:webHidden/>
          </w:rPr>
          <w:tab/>
        </w:r>
        <w:r w:rsidR="0073169A">
          <w:rPr>
            <w:noProof/>
            <w:webHidden/>
          </w:rPr>
          <w:fldChar w:fldCharType="begin"/>
        </w:r>
        <w:r w:rsidR="0073169A">
          <w:rPr>
            <w:noProof/>
            <w:webHidden/>
          </w:rPr>
          <w:instrText xml:space="preserve"> PAGEREF _Toc444009872 \h </w:instrText>
        </w:r>
        <w:r w:rsidR="0073169A">
          <w:rPr>
            <w:noProof/>
            <w:webHidden/>
          </w:rPr>
        </w:r>
        <w:r w:rsidR="0073169A">
          <w:rPr>
            <w:noProof/>
            <w:webHidden/>
          </w:rPr>
          <w:fldChar w:fldCharType="separate"/>
        </w:r>
        <w:r w:rsidR="0073169A">
          <w:rPr>
            <w:noProof/>
            <w:webHidden/>
          </w:rPr>
          <w:t>35</w:t>
        </w:r>
        <w:r w:rsidR="0073169A">
          <w:rPr>
            <w:noProof/>
            <w:webHidden/>
          </w:rPr>
          <w:fldChar w:fldCharType="end"/>
        </w:r>
      </w:hyperlink>
    </w:p>
    <w:p w14:paraId="6CE58DC8" w14:textId="77777777" w:rsidR="00B16C23" w:rsidRDefault="00B16C04">
      <w:r>
        <w:rPr>
          <w:rFonts w:eastAsia="Times New Roman"/>
          <w:b/>
          <w:sz w:val="24"/>
          <w:szCs w:val="20"/>
          <w:lang w:eastAsia="en-GB"/>
        </w:rPr>
        <w:fldChar w:fldCharType="end"/>
      </w:r>
    </w:p>
    <w:p w14:paraId="3D7D1AC8" w14:textId="77777777" w:rsidR="00B16C23" w:rsidRDefault="00B16C23" w:rsidP="00B16C23">
      <w:pPr>
        <w:rPr>
          <w:lang w:val="ro-RO"/>
        </w:rPr>
      </w:pPr>
    </w:p>
    <w:p w14:paraId="03793E81" w14:textId="77777777" w:rsidR="00B16C23" w:rsidRDefault="00B16C23" w:rsidP="00B16C23">
      <w:pPr>
        <w:rPr>
          <w:sz w:val="28"/>
          <w:szCs w:val="28"/>
          <w:lang w:val="ro-RO"/>
        </w:rPr>
      </w:pPr>
    </w:p>
    <w:p w14:paraId="5D5F9827" w14:textId="77777777" w:rsidR="00B16C23" w:rsidRDefault="00B16C04" w:rsidP="00B16C23">
      <w:pPr>
        <w:pStyle w:val="Heading1"/>
        <w:numPr>
          <w:ilvl w:val="0"/>
          <w:numId w:val="1"/>
        </w:numPr>
        <w:rPr>
          <w:lang w:val="ro-RO"/>
        </w:rPr>
      </w:pPr>
      <w:r>
        <w:rPr>
          <w:rFonts w:eastAsia="Calibri" w:cs="Calibri"/>
          <w:iCs/>
          <w:szCs w:val="40"/>
          <w:bdr w:val="nil"/>
          <w:lang w:val="mk-MK" w:bidi="mk-MK"/>
        </w:rPr>
        <w:br w:type="page"/>
      </w:r>
      <w:bookmarkStart w:id="0" w:name="_Toc444009815"/>
      <w:r>
        <w:rPr>
          <w:rFonts w:eastAsia="Calibri" w:cs="Calibri"/>
          <w:iCs/>
          <w:szCs w:val="40"/>
          <w:bdr w:val="nil"/>
          <w:lang w:val="mk-MK" w:bidi="mk-MK"/>
        </w:rPr>
        <w:lastRenderedPageBreak/>
        <w:t>Вовед</w:t>
      </w:r>
      <w:bookmarkEnd w:id="0"/>
      <w:r>
        <w:rPr>
          <w:rFonts w:eastAsia="Calibri" w:cs="Calibri"/>
          <w:iCs/>
          <w:szCs w:val="40"/>
          <w:bdr w:val="nil"/>
          <w:lang w:val="mk-MK" w:bidi="mk-MK"/>
        </w:rPr>
        <w:t xml:space="preserve"> </w:t>
      </w:r>
    </w:p>
    <w:p w14:paraId="375D0056" w14:textId="71DBCB69" w:rsidR="00B16C23" w:rsidRPr="00935495" w:rsidRDefault="00B16C04" w:rsidP="00B16C23">
      <w:pPr>
        <w:rPr>
          <w:lang w:val="ro-RO"/>
        </w:rPr>
      </w:pPr>
      <w:r>
        <w:rPr>
          <w:rFonts w:cs="Calibri"/>
          <w:bdr w:val="nil"/>
          <w:lang w:val="mk-MK" w:bidi="mk-MK"/>
        </w:rPr>
        <w:t>Оваа Листа на податоци за големи постројки за согорување содржи краток опис на состој</w:t>
      </w:r>
      <w:r w:rsidR="00914927">
        <w:rPr>
          <w:rFonts w:cs="Calibri"/>
          <w:bdr w:val="nil"/>
          <w:lang w:val="mk-MK" w:bidi="mk-MK"/>
        </w:rPr>
        <w:t>НДТ</w:t>
      </w:r>
      <w:r>
        <w:rPr>
          <w:rFonts w:cs="Calibri"/>
          <w:bdr w:val="nil"/>
          <w:lang w:val="mk-MK" w:bidi="mk-MK"/>
        </w:rPr>
        <w:t>а и функционирањето на овој сектор во Република Македонија.  Доколку состој</w:t>
      </w:r>
      <w:r w:rsidR="00914927">
        <w:rPr>
          <w:rFonts w:cs="Calibri"/>
          <w:bdr w:val="nil"/>
          <w:lang w:val="mk-MK" w:bidi="mk-MK"/>
        </w:rPr>
        <w:t>НДТ</w:t>
      </w:r>
      <w:r>
        <w:rPr>
          <w:rFonts w:cs="Calibri"/>
          <w:bdr w:val="nil"/>
          <w:lang w:val="mk-MK" w:bidi="mk-MK"/>
        </w:rPr>
        <w:t xml:space="preserve">а во секторот значително се промени, ќе биде потребно да се ажурира овој документ. </w:t>
      </w:r>
    </w:p>
    <w:p w14:paraId="05E2B9DD" w14:textId="77777777" w:rsidR="00B16C23" w:rsidRDefault="00B16C04" w:rsidP="00B16C23">
      <w:pPr>
        <w:rPr>
          <w:lang w:val="ro-RO"/>
        </w:rPr>
      </w:pPr>
      <w:r>
        <w:rPr>
          <w:rFonts w:cs="Calibri"/>
          <w:bdr w:val="nil"/>
          <w:lang w:val="mk-MK" w:bidi="mk-MK"/>
        </w:rPr>
        <w:t xml:space="preserve">Со цел добро да се подготви и спроведе инспекцијата на животната средина во објектите во овој сектор, овој документ содржи информации за тоа како функционира оваа индустрија, кои се главните влијанија врз животната средина од неа, кои се мерките за намалување на загадувањето, и кои се клучните точки за инспекција во овие објекти, дополнети со практична Листа за проверка која се користи при инспекцијата.  Целта е да се олесни работата на инспекторите, да се воведе изедначен пристап и квалитет на инспекцијата како и еднакви услови за операторите. </w:t>
      </w:r>
    </w:p>
    <w:p w14:paraId="660105DC" w14:textId="77777777" w:rsidR="00B16C23" w:rsidRDefault="00B16C04" w:rsidP="00B16C23">
      <w:pPr>
        <w:rPr>
          <w:lang w:val="ro-RO"/>
        </w:rPr>
      </w:pPr>
      <w:r>
        <w:rPr>
          <w:rFonts w:cs="Calibri"/>
          <w:bdr w:val="nil"/>
          <w:lang w:val="mk-MK" w:bidi="mk-MK"/>
        </w:rPr>
        <w:t xml:space="preserve">Детални информации за процесите за производство и за Најдобрите достапни техники (НДТ) кои се релевантни за овој сектор можат да се најдат во референтните линкови и документи во Анекс 2. Овој документ е краток бидејќи дава основен приказ за секторот и е наменет да послужи како практична алатка за инспекторите. </w:t>
      </w:r>
    </w:p>
    <w:p w14:paraId="504ABA10" w14:textId="77777777" w:rsidR="00B16C23" w:rsidRPr="00623485" w:rsidRDefault="00B16C23" w:rsidP="00B16C23">
      <w:pPr>
        <w:rPr>
          <w:szCs w:val="24"/>
          <w:lang w:val="mk-MK"/>
        </w:rPr>
      </w:pPr>
    </w:p>
    <w:p w14:paraId="5DD0DC4A" w14:textId="77777777" w:rsidR="00B16C23" w:rsidRPr="00623485" w:rsidRDefault="00B16C04" w:rsidP="00B16C23">
      <w:pPr>
        <w:pStyle w:val="Heading1"/>
        <w:numPr>
          <w:ilvl w:val="0"/>
          <w:numId w:val="1"/>
        </w:numPr>
        <w:rPr>
          <w:lang w:val="mk-MK"/>
        </w:rPr>
      </w:pPr>
      <w:bookmarkStart w:id="1" w:name="_Toc444009816"/>
      <w:r>
        <w:rPr>
          <w:rFonts w:eastAsia="Calibri" w:cs="Calibri"/>
          <w:iCs/>
          <w:szCs w:val="40"/>
          <w:bdr w:val="nil"/>
          <w:lang w:val="mk-MK" w:bidi="mk-MK"/>
        </w:rPr>
        <w:t>Што се големи постројки/инсталации за согорување?</w:t>
      </w:r>
      <w:bookmarkEnd w:id="1"/>
    </w:p>
    <w:p w14:paraId="309FF2FA" w14:textId="77777777" w:rsidR="00B16C23" w:rsidRPr="00917355" w:rsidRDefault="00B16C23" w:rsidP="00B16C23">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ro-RO"/>
        </w:rPr>
      </w:pPr>
      <w:bookmarkStart w:id="2" w:name="_Toc429394543"/>
      <w:bookmarkStart w:id="3" w:name="_Toc429394958"/>
      <w:bookmarkStart w:id="4" w:name="_Toc429501975"/>
      <w:bookmarkStart w:id="5" w:name="_Toc438141019"/>
      <w:bookmarkStart w:id="6" w:name="_Toc438142915"/>
      <w:bookmarkStart w:id="7" w:name="_Toc438216260"/>
      <w:bookmarkStart w:id="8" w:name="_Toc440476955"/>
      <w:bookmarkStart w:id="9" w:name="_Toc440899857"/>
      <w:bookmarkStart w:id="10" w:name="_Toc440978639"/>
      <w:bookmarkStart w:id="11" w:name="_Toc444009817"/>
      <w:bookmarkEnd w:id="2"/>
      <w:bookmarkEnd w:id="3"/>
      <w:bookmarkEnd w:id="4"/>
      <w:bookmarkEnd w:id="5"/>
      <w:bookmarkEnd w:id="6"/>
      <w:bookmarkEnd w:id="7"/>
      <w:bookmarkEnd w:id="8"/>
      <w:bookmarkEnd w:id="9"/>
      <w:bookmarkEnd w:id="10"/>
      <w:bookmarkEnd w:id="11"/>
    </w:p>
    <w:p w14:paraId="03393079" w14:textId="77777777" w:rsidR="00B16C23" w:rsidRPr="00917355" w:rsidRDefault="00B16C23" w:rsidP="00B16C23">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ro-RO"/>
        </w:rPr>
      </w:pPr>
      <w:bookmarkStart w:id="12" w:name="_Toc429394544"/>
      <w:bookmarkStart w:id="13" w:name="_Toc429394959"/>
      <w:bookmarkStart w:id="14" w:name="_Toc429501976"/>
      <w:bookmarkStart w:id="15" w:name="_Toc438141020"/>
      <w:bookmarkStart w:id="16" w:name="_Toc438142916"/>
      <w:bookmarkStart w:id="17" w:name="_Toc438216261"/>
      <w:bookmarkStart w:id="18" w:name="_Toc440476956"/>
      <w:bookmarkStart w:id="19" w:name="_Toc440899858"/>
      <w:bookmarkStart w:id="20" w:name="_Toc440978640"/>
      <w:bookmarkStart w:id="21" w:name="_Toc444009818"/>
      <w:bookmarkEnd w:id="12"/>
      <w:bookmarkEnd w:id="13"/>
      <w:bookmarkEnd w:id="14"/>
      <w:bookmarkEnd w:id="15"/>
      <w:bookmarkEnd w:id="16"/>
      <w:bookmarkEnd w:id="17"/>
      <w:bookmarkEnd w:id="18"/>
      <w:bookmarkEnd w:id="19"/>
      <w:bookmarkEnd w:id="20"/>
      <w:bookmarkEnd w:id="21"/>
    </w:p>
    <w:p w14:paraId="440548A8" w14:textId="77777777" w:rsidR="00B16C23" w:rsidRDefault="00B16C04" w:rsidP="00B16C23">
      <w:pPr>
        <w:pStyle w:val="Heading2"/>
        <w:numPr>
          <w:ilvl w:val="1"/>
          <w:numId w:val="2"/>
        </w:numPr>
        <w:rPr>
          <w:lang w:val="ro-RO"/>
        </w:rPr>
      </w:pPr>
      <w:bookmarkStart w:id="22" w:name="_Toc444009819"/>
      <w:r>
        <w:rPr>
          <w:rFonts w:eastAsia="Calibri" w:cs="Calibri"/>
          <w:szCs w:val="32"/>
          <w:bdr w:val="nil"/>
          <w:lang w:val="mk-MK" w:bidi="mk-MK"/>
        </w:rPr>
        <w:t>Процес на производство</w:t>
      </w:r>
      <w:bookmarkEnd w:id="22"/>
      <w:r>
        <w:rPr>
          <w:rFonts w:eastAsia="Calibri" w:cs="Calibri"/>
          <w:szCs w:val="32"/>
          <w:bdr w:val="nil"/>
          <w:lang w:val="mk-MK" w:bidi="mk-MK"/>
        </w:rPr>
        <w:t xml:space="preserve"> </w:t>
      </w:r>
    </w:p>
    <w:p w14:paraId="19C11F71" w14:textId="702F5237" w:rsidR="00B16C23" w:rsidRDefault="00B16C04" w:rsidP="00B16C23">
      <w:pPr>
        <w:rPr>
          <w:lang w:val="ro-RO"/>
        </w:rPr>
      </w:pPr>
      <w:r>
        <w:rPr>
          <w:rFonts w:cs="Calibri"/>
          <w:bdr w:val="nil"/>
          <w:lang w:val="mk-MK" w:bidi="mk-MK"/>
        </w:rPr>
        <w:t xml:space="preserve">Инсталациите/постројките за согорување </w:t>
      </w:r>
      <w:r w:rsidR="00EA3279">
        <w:rPr>
          <w:rFonts w:cs="Calibri"/>
          <w:bdr w:val="nil"/>
          <w:lang w:val="mk-MK" w:bidi="mk-MK"/>
        </w:rPr>
        <w:t xml:space="preserve">се постројки </w:t>
      </w:r>
      <w:r>
        <w:rPr>
          <w:rFonts w:cs="Calibri"/>
          <w:bdr w:val="nil"/>
          <w:lang w:val="mk-MK" w:bidi="mk-MK"/>
        </w:rPr>
        <w:t>за производство на топлина и во многу случаи и на електрична енергија преку согорување на гасовити, течни или цврсти горива</w:t>
      </w:r>
      <w:r w:rsidR="00EA3279">
        <w:rPr>
          <w:rFonts w:cs="Calibri"/>
          <w:bdr w:val="nil"/>
          <w:lang w:val="mk-MK" w:bidi="mk-MK"/>
        </w:rPr>
        <w:t xml:space="preserve">. Тие </w:t>
      </w:r>
      <w:r>
        <w:rPr>
          <w:rFonts w:cs="Calibri"/>
          <w:bdr w:val="nil"/>
          <w:lang w:val="mk-MK" w:bidi="mk-MK"/>
        </w:rPr>
        <w:t>постојат во многу различни форми и се разликуваат според горивото што го користат, технологијата за согорување, големината на инсталацијата и намената на постројката или инсталацијата.  Најголемите постројки за согорување на фосилни горива (и на обновливи горива) с</w:t>
      </w:r>
      <w:r w:rsidR="00EA3279" w:rsidRPr="00EA3279">
        <w:rPr>
          <w:rFonts w:asciiTheme="minorHAnsi" w:hAnsiTheme="minorHAnsi" w:cstheme="minorHAnsi"/>
          <w:bdr w:val="nil"/>
          <w:lang w:val="mk-MK" w:bidi="mk-MK"/>
        </w:rPr>
        <w:t>è</w:t>
      </w:r>
      <w:r w:rsidRPr="00EA3279">
        <w:rPr>
          <w:rFonts w:asciiTheme="minorHAnsi" w:hAnsiTheme="minorHAnsi" w:cstheme="minorHAnsi"/>
          <w:bdr w:val="nil"/>
          <w:lang w:val="mk-MK" w:bidi="mk-MK"/>
        </w:rPr>
        <w:t xml:space="preserve"> </w:t>
      </w:r>
      <w:r>
        <w:rPr>
          <w:rFonts w:cs="Calibri"/>
          <w:bdr w:val="nil"/>
          <w:lang w:val="mk-MK" w:bidi="mk-MK"/>
        </w:rPr>
        <w:t xml:space="preserve">уште имаат многу важна улога во производството на електрична енергија во многу земји.  За Македонија, </w:t>
      </w:r>
      <w:r w:rsidR="00EA3279">
        <w:rPr>
          <w:rFonts w:cs="Calibri"/>
          <w:bdr w:val="nil"/>
          <w:lang w:val="mk-MK" w:bidi="mk-MK"/>
        </w:rPr>
        <w:t xml:space="preserve">најважни се </w:t>
      </w:r>
      <w:r>
        <w:rPr>
          <w:rFonts w:cs="Calibri"/>
          <w:bdr w:val="nil"/>
          <w:lang w:val="mk-MK" w:bidi="mk-MK"/>
        </w:rPr>
        <w:t xml:space="preserve">инсталациите кои работат на лигнит и на гас.  Околу 75 % од електрична енергија се произведува во електроцентралите кои работат на лигнит, 15% </w:t>
      </w:r>
      <w:r w:rsidR="00EA3279">
        <w:rPr>
          <w:rFonts w:cs="Calibri"/>
          <w:bdr w:val="nil"/>
          <w:lang w:val="mk-MK" w:bidi="mk-MK"/>
        </w:rPr>
        <w:t xml:space="preserve">во оние кои работат на </w:t>
      </w:r>
      <w:r>
        <w:rPr>
          <w:rFonts w:cs="Calibri"/>
          <w:bdr w:val="nil"/>
          <w:lang w:val="mk-MK" w:bidi="mk-MK"/>
        </w:rPr>
        <w:t xml:space="preserve">природен гас и 10 проценти е електрична енергија </w:t>
      </w:r>
      <w:r w:rsidR="00EA3279">
        <w:rPr>
          <w:rFonts w:cs="Calibri"/>
          <w:bdr w:val="nil"/>
          <w:lang w:val="mk-MK" w:bidi="mk-MK"/>
        </w:rPr>
        <w:t xml:space="preserve">произведена </w:t>
      </w:r>
      <w:r>
        <w:rPr>
          <w:rFonts w:cs="Calibri"/>
          <w:bdr w:val="nil"/>
          <w:lang w:val="mk-MK" w:bidi="mk-MK"/>
        </w:rPr>
        <w:t>во хидроелектраните.</w:t>
      </w:r>
    </w:p>
    <w:p w14:paraId="20DFE454" w14:textId="25D3DB83" w:rsidR="00B16C23" w:rsidRPr="00623485" w:rsidRDefault="00B16C04" w:rsidP="00B16C23">
      <w:pPr>
        <w:rPr>
          <w:lang w:val="mk-MK"/>
        </w:rPr>
      </w:pPr>
      <w:r>
        <w:rPr>
          <w:rFonts w:cs="Calibri"/>
          <w:bdr w:val="nil"/>
          <w:lang w:val="mk-MK" w:bidi="mk-MK"/>
        </w:rPr>
        <w:t xml:space="preserve">Најкористената технологија за согорување во електроцентралите е пулверизирано, атомизирано или директно палење на горивото во комората за согорување на котелот.  Во сите системи за согорување, </w:t>
      </w:r>
      <w:r w:rsidR="00EA3279">
        <w:rPr>
          <w:rFonts w:cs="Calibri"/>
          <w:bdr w:val="nil"/>
          <w:lang w:val="mk-MK" w:bidi="mk-MK"/>
        </w:rPr>
        <w:t xml:space="preserve">речиси 100% од </w:t>
      </w:r>
      <w:r>
        <w:rPr>
          <w:rFonts w:cs="Calibri"/>
          <w:bdr w:val="nil"/>
          <w:lang w:val="mk-MK" w:bidi="mk-MK"/>
        </w:rPr>
        <w:t xml:space="preserve">енергијата </w:t>
      </w:r>
      <w:r w:rsidR="00EA3279">
        <w:rPr>
          <w:rFonts w:cs="Calibri"/>
          <w:bdr w:val="nil"/>
          <w:lang w:val="mk-MK" w:bidi="mk-MK"/>
        </w:rPr>
        <w:t>на</w:t>
      </w:r>
      <w:r>
        <w:rPr>
          <w:rFonts w:cs="Calibri"/>
          <w:bdr w:val="nil"/>
          <w:lang w:val="mk-MK" w:bidi="mk-MK"/>
        </w:rPr>
        <w:t xml:space="preserve"> горивото (нето калориска вредност), се претвора во топлина.  Во најголем дел од </w:t>
      </w:r>
      <w:r w:rsidR="00E37E9B">
        <w:rPr>
          <w:rFonts w:cs="Calibri"/>
          <w:bdr w:val="nil"/>
          <w:lang w:val="mk-MK" w:bidi="mk-MK"/>
        </w:rPr>
        <w:t>случаите</w:t>
      </w:r>
      <w:r>
        <w:rPr>
          <w:rFonts w:cs="Calibri"/>
          <w:bdr w:val="nil"/>
          <w:lang w:val="mk-MK" w:bidi="mk-MK"/>
        </w:rPr>
        <w:t xml:space="preserve"> оваа ослободена нето топлина од горивото се пренесува и се применува во процеси со пареа или во механички движења.  Други важни </w:t>
      </w:r>
      <w:r>
        <w:rPr>
          <w:rFonts w:cs="Calibri"/>
          <w:bdr w:val="nil"/>
          <w:lang w:val="mk-MK" w:bidi="mk-MK"/>
        </w:rPr>
        <w:lastRenderedPageBreak/>
        <w:t xml:space="preserve">техники на согорување се согорување во флуидизиран слој (цврсти горива, различни видови), </w:t>
      </w:r>
      <w:r w:rsidR="00E37E9B">
        <w:rPr>
          <w:rFonts w:cs="Calibri"/>
          <w:bdr w:val="nil"/>
          <w:lang w:val="mk-MK" w:bidi="mk-MK"/>
        </w:rPr>
        <w:t xml:space="preserve">во </w:t>
      </w:r>
      <w:r>
        <w:rPr>
          <w:rFonts w:cs="Calibri"/>
          <w:bdr w:val="nil"/>
          <w:lang w:val="mk-MK" w:bidi="mk-MK"/>
        </w:rPr>
        <w:t xml:space="preserve">трајножаречки котел за цврсти горива, </w:t>
      </w:r>
      <w:r w:rsidR="00E37E9B">
        <w:rPr>
          <w:rFonts w:cs="Calibri"/>
          <w:bdr w:val="nil"/>
          <w:lang w:val="mk-MK" w:bidi="mk-MK"/>
        </w:rPr>
        <w:t xml:space="preserve">во </w:t>
      </w:r>
      <w:r>
        <w:rPr>
          <w:rFonts w:cs="Calibri"/>
          <w:bdr w:val="nil"/>
          <w:lang w:val="mk-MK" w:bidi="mk-MK"/>
        </w:rPr>
        <w:t xml:space="preserve">мотори за согорување (цилиндирични мотори кои користат дизел, тешко гориво и / или гас како гориво) и </w:t>
      </w:r>
      <w:r w:rsidR="00E37E9B">
        <w:rPr>
          <w:rFonts w:cs="Calibri"/>
          <w:bdr w:val="nil"/>
          <w:lang w:val="mk-MK" w:bidi="mk-MK"/>
        </w:rPr>
        <w:t xml:space="preserve">во </w:t>
      </w:r>
      <w:r>
        <w:rPr>
          <w:rFonts w:cs="Calibri"/>
          <w:bdr w:val="nil"/>
          <w:lang w:val="mk-MK" w:bidi="mk-MK"/>
        </w:rPr>
        <w:t>гасни турбини кои работат на течно гориво или на гас.   Гасните турбини се инсталирани во различни видови на постројки за согорување како на пример во уреди за комбиниран циклус, постројки за когенерација и во уреди за комбиниран циклус за интегрирана гасификација.</w:t>
      </w:r>
    </w:p>
    <w:p w14:paraId="48473FC9" w14:textId="77777777" w:rsidR="00B16C23" w:rsidRPr="00D0352B" w:rsidRDefault="00B16C04" w:rsidP="00B16C23">
      <w:pPr>
        <w:pStyle w:val="Heading3"/>
        <w:numPr>
          <w:ilvl w:val="2"/>
          <w:numId w:val="2"/>
        </w:numPr>
      </w:pPr>
      <w:bookmarkStart w:id="23" w:name="_Toc444009820"/>
      <w:r>
        <w:rPr>
          <w:rStyle w:val="Heading3Char"/>
          <w:rFonts w:eastAsia="Calibri" w:cs="Calibri"/>
          <w:b/>
          <w:bCs/>
          <w:szCs w:val="28"/>
          <w:bdr w:val="nil"/>
          <w:lang w:val="mk-MK" w:bidi="mk-MK"/>
        </w:rPr>
        <w:t>Согорување на лигнит</w:t>
      </w:r>
      <w:bookmarkEnd w:id="23"/>
      <w:r>
        <w:rPr>
          <w:rStyle w:val="Heading3Char"/>
          <w:rFonts w:eastAsia="Calibri" w:cs="Calibri"/>
          <w:b/>
          <w:bCs/>
          <w:szCs w:val="28"/>
          <w:bdr w:val="nil"/>
          <w:lang w:val="mk-MK" w:bidi="mk-MK"/>
        </w:rPr>
        <w:t xml:space="preserve"> </w:t>
      </w:r>
    </w:p>
    <w:p w14:paraId="7066D09E" w14:textId="0295E56F" w:rsidR="00B16C23" w:rsidRDefault="00B16C04" w:rsidP="00B16C23">
      <w:pPr>
        <w:rPr>
          <w:lang w:val="ro-RO"/>
        </w:rPr>
      </w:pPr>
      <w:r>
        <w:rPr>
          <w:rFonts w:cs="Calibri"/>
          <w:bdr w:val="nil"/>
          <w:lang w:val="mk-MK" w:bidi="mk-MK"/>
        </w:rPr>
        <w:t xml:space="preserve">Подготовка на горивото: лигнитот се пренесува од складот со преносна трака (вообичаено под покриена трака) до местото за ситнење каде големината </w:t>
      </w:r>
      <w:r w:rsidR="00E37E9B">
        <w:rPr>
          <w:rFonts w:cs="Calibri"/>
          <w:bdr w:val="nil"/>
          <w:lang w:val="mk-MK" w:bidi="mk-MK"/>
        </w:rPr>
        <w:t xml:space="preserve">на парчињата лигнит </w:t>
      </w:r>
      <w:r>
        <w:rPr>
          <w:rFonts w:cs="Calibri"/>
          <w:bdr w:val="nil"/>
          <w:lang w:val="mk-MK" w:bidi="mk-MK"/>
        </w:rPr>
        <w:t xml:space="preserve">со мелници и ситначи </w:t>
      </w:r>
      <w:r w:rsidR="00E37E9B">
        <w:rPr>
          <w:rFonts w:cs="Calibri"/>
          <w:bdr w:val="nil"/>
          <w:lang w:val="mk-MK" w:bidi="mk-MK"/>
        </w:rPr>
        <w:t xml:space="preserve">се намалува до парчиња со големина до 40-80 </w:t>
      </w:r>
      <w:r>
        <w:rPr>
          <w:rFonts w:cs="Calibri"/>
          <w:bdr w:val="nil"/>
          <w:lang w:val="mk-MK" w:bidi="mk-MK"/>
        </w:rPr>
        <w:t xml:space="preserve">mm. Потоа иситнетиот лигнит се пренесува до бункерот </w:t>
      </w:r>
      <w:r w:rsidR="00E37E9B">
        <w:rPr>
          <w:rFonts w:cs="Calibri"/>
          <w:bdr w:val="nil"/>
          <w:lang w:val="mk-MK" w:bidi="mk-MK"/>
        </w:rPr>
        <w:t>во кој се наоѓа</w:t>
      </w:r>
      <w:r>
        <w:rPr>
          <w:rFonts w:cs="Calibri"/>
          <w:bdr w:val="nil"/>
          <w:lang w:val="mk-MK" w:bidi="mk-MK"/>
        </w:rPr>
        <w:t xml:space="preserve"> котелот.  Влажноста на лигнитот е 30-70 % така што во оваа фаза нема голем ризик од емисии на прашина.  На местата на префрлање може да се јават емисии од прашина и треба да се постават инсталации за обеспрашување</w:t>
      </w:r>
      <w:r w:rsidR="00E37E9B">
        <w:rPr>
          <w:rFonts w:cs="Calibri"/>
          <w:bdr w:val="nil"/>
          <w:lang w:val="mk-MK" w:bidi="mk-MK"/>
        </w:rPr>
        <w:t xml:space="preserve"> како на пример вшмукување </w:t>
      </w:r>
      <w:r>
        <w:rPr>
          <w:rFonts w:cs="Calibri"/>
          <w:bdr w:val="nil"/>
          <w:lang w:val="mk-MK" w:bidi="mk-MK"/>
        </w:rPr>
        <w:t xml:space="preserve">и чистење </w:t>
      </w:r>
      <w:r w:rsidR="00E37E9B">
        <w:rPr>
          <w:rFonts w:cs="Calibri"/>
          <w:bdr w:val="nil"/>
          <w:lang w:val="mk-MK" w:bidi="mk-MK"/>
        </w:rPr>
        <w:t xml:space="preserve">со воздух </w:t>
      </w:r>
      <w:r>
        <w:rPr>
          <w:rFonts w:cs="Calibri"/>
          <w:bdr w:val="nil"/>
          <w:lang w:val="mk-MK" w:bidi="mk-MK"/>
        </w:rPr>
        <w:t xml:space="preserve">со цел да се обезбеди добра работна атмосфера </w:t>
      </w:r>
      <w:r w:rsidR="00E37E9B">
        <w:rPr>
          <w:rFonts w:cs="Calibri"/>
          <w:bdr w:val="nil"/>
          <w:lang w:val="mk-MK" w:bidi="mk-MK"/>
        </w:rPr>
        <w:t>во внатрешноста</w:t>
      </w:r>
      <w:r>
        <w:rPr>
          <w:rFonts w:cs="Calibri"/>
          <w:bdr w:val="nil"/>
          <w:lang w:val="mk-MK" w:bidi="mk-MK"/>
        </w:rPr>
        <w:t xml:space="preserve">. </w:t>
      </w:r>
    </w:p>
    <w:p w14:paraId="335E2BFE" w14:textId="23382353" w:rsidR="00B16C23" w:rsidRDefault="00B16C04" w:rsidP="00B16C23">
      <w:pPr>
        <w:rPr>
          <w:lang w:val="ro-RO"/>
        </w:rPr>
      </w:pPr>
      <w:r>
        <w:rPr>
          <w:rFonts w:cs="Calibri"/>
          <w:bdr w:val="nil"/>
          <w:lang w:val="mk-MK" w:bidi="mk-MK"/>
        </w:rPr>
        <w:t xml:space="preserve">Пулверизираното гориво се пренесува до котелот и се согорува во комората за согорување на котелот каде топлинската енергија која се ослободува се користи за генерирање на пареа.  Пареата се користи за греење или откако се претвора во прегреана пареа се користи за производство на електрична енергија преку различни фази </w:t>
      </w:r>
      <w:r w:rsidR="00E37E9B">
        <w:rPr>
          <w:rFonts w:cs="Calibri"/>
          <w:bdr w:val="nil"/>
          <w:lang w:val="mk-MK" w:bidi="mk-MK"/>
        </w:rPr>
        <w:t>во парни т</w:t>
      </w:r>
      <w:r>
        <w:rPr>
          <w:rFonts w:cs="Calibri"/>
          <w:bdr w:val="nil"/>
          <w:lang w:val="mk-MK" w:bidi="mk-MK"/>
        </w:rPr>
        <w:t>у</w:t>
      </w:r>
      <w:r w:rsidR="00E37E9B">
        <w:rPr>
          <w:rFonts w:cs="Calibri"/>
          <w:bdr w:val="nil"/>
          <w:lang w:val="mk-MK" w:bidi="mk-MK"/>
        </w:rPr>
        <w:t>р</w:t>
      </w:r>
      <w:r>
        <w:rPr>
          <w:rFonts w:cs="Calibri"/>
          <w:bdr w:val="nil"/>
          <w:lang w:val="mk-MK" w:bidi="mk-MK"/>
        </w:rPr>
        <w:t xml:space="preserve">бини и генератори. </w:t>
      </w:r>
    </w:p>
    <w:p w14:paraId="3ECA8D02" w14:textId="2A6060E2" w:rsidR="00B16C23" w:rsidRDefault="00B16C04" w:rsidP="00B16C23">
      <w:pPr>
        <w:rPr>
          <w:lang w:val="ro-RO"/>
        </w:rPr>
      </w:pPr>
      <w:r>
        <w:rPr>
          <w:rFonts w:cs="Calibri"/>
          <w:bdr w:val="nil"/>
          <w:lang w:val="mk-MK" w:bidi="mk-MK"/>
        </w:rPr>
        <w:t xml:space="preserve"> Комбинацијата на гориво со кислород бара </w:t>
      </w:r>
      <w:r w:rsidR="00E37E9B">
        <w:rPr>
          <w:rFonts w:cs="Calibri"/>
          <w:bdr w:val="nil"/>
          <w:lang w:val="mk-MK" w:bidi="mk-MK"/>
        </w:rPr>
        <w:t xml:space="preserve">определена </w:t>
      </w:r>
      <w:r>
        <w:rPr>
          <w:rFonts w:cs="Calibri"/>
          <w:bdr w:val="nil"/>
          <w:lang w:val="mk-MK" w:bidi="mk-MK"/>
        </w:rPr>
        <w:t xml:space="preserve">висока температура за палење на состојките во горивото, добро мешање или турбуленција и доволно време за целосно согорување.  </w:t>
      </w:r>
      <w:r w:rsidR="00E37E9B">
        <w:rPr>
          <w:rFonts w:cs="Calibri"/>
          <w:bdr w:val="nil"/>
          <w:lang w:val="mk-MK" w:bidi="mk-MK"/>
        </w:rPr>
        <w:t>Поради н</w:t>
      </w:r>
      <w:r>
        <w:rPr>
          <w:rFonts w:cs="Calibri"/>
          <w:bdr w:val="nil"/>
          <w:lang w:val="mk-MK" w:bidi="mk-MK"/>
        </w:rPr>
        <w:t>е</w:t>
      </w:r>
      <w:r w:rsidR="00E37E9B">
        <w:rPr>
          <w:rFonts w:cs="Calibri"/>
          <w:bdr w:val="nil"/>
          <w:lang w:val="mk-MK" w:bidi="mk-MK"/>
        </w:rPr>
        <w:t xml:space="preserve">целосно </w:t>
      </w:r>
      <w:r>
        <w:rPr>
          <w:rFonts w:cs="Calibri"/>
          <w:bdr w:val="nil"/>
          <w:lang w:val="mk-MK" w:bidi="mk-MK"/>
        </w:rPr>
        <w:t>согор</w:t>
      </w:r>
      <w:r w:rsidR="00E37E9B">
        <w:rPr>
          <w:rFonts w:cs="Calibri"/>
          <w:bdr w:val="nil"/>
          <w:lang w:val="mk-MK" w:bidi="mk-MK"/>
        </w:rPr>
        <w:t xml:space="preserve">ување на </w:t>
      </w:r>
      <w:r>
        <w:rPr>
          <w:rFonts w:cs="Calibri"/>
          <w:bdr w:val="nil"/>
          <w:lang w:val="mk-MK" w:bidi="mk-MK"/>
        </w:rPr>
        <w:t xml:space="preserve">јаглерод во пепелта и формирањето на јаглерод моноксид и на лесно испарливите органски соединенија </w:t>
      </w:r>
      <w:r w:rsidR="00E37E9B">
        <w:rPr>
          <w:rFonts w:cs="Calibri"/>
          <w:bdr w:val="nil"/>
          <w:lang w:val="mk-MK" w:bidi="mk-MK"/>
        </w:rPr>
        <w:t xml:space="preserve">доаѓа до </w:t>
      </w:r>
      <w:r>
        <w:rPr>
          <w:rFonts w:cs="Calibri"/>
          <w:bdr w:val="nil"/>
          <w:lang w:val="mk-MK" w:bidi="mk-MK"/>
        </w:rPr>
        <w:t xml:space="preserve">загуби на енергија од горивото за време на процесот на согорување, што доведува до </w:t>
      </w:r>
      <w:r w:rsidR="00E37E9B">
        <w:rPr>
          <w:rFonts w:cs="Calibri"/>
          <w:bdr w:val="nil"/>
          <w:lang w:val="mk-MK" w:bidi="mk-MK"/>
        </w:rPr>
        <w:t>помала</w:t>
      </w:r>
      <w:r>
        <w:rPr>
          <w:rFonts w:cs="Calibri"/>
          <w:bdr w:val="nil"/>
          <w:lang w:val="mk-MK" w:bidi="mk-MK"/>
        </w:rPr>
        <w:t xml:space="preserve"> ефикасност.  Печк</w:t>
      </w:r>
      <w:r w:rsidR="00E37E9B">
        <w:rPr>
          <w:rFonts w:cs="Calibri"/>
          <w:bdr w:val="nil"/>
          <w:lang w:val="mk-MK" w:bidi="mk-MK"/>
        </w:rPr>
        <w:t>ите/котлите со суво дно, каде</w:t>
      </w:r>
      <w:r>
        <w:rPr>
          <w:rFonts w:cs="Calibri"/>
          <w:bdr w:val="nil"/>
          <w:lang w:val="mk-MK" w:bidi="mk-MK"/>
        </w:rPr>
        <w:t xml:space="preserve"> температурата е многу пониска од температурата на топење на пепелта е котел</w:t>
      </w:r>
      <w:r w:rsidR="00E37E9B">
        <w:rPr>
          <w:rFonts w:cs="Calibri"/>
          <w:bdr w:val="nil"/>
          <w:lang w:val="mk-MK" w:bidi="mk-MK"/>
        </w:rPr>
        <w:t>от</w:t>
      </w:r>
      <w:r>
        <w:rPr>
          <w:rFonts w:cs="Calibri"/>
          <w:bdr w:val="nil"/>
          <w:lang w:val="mk-MK" w:bidi="mk-MK"/>
        </w:rPr>
        <w:t xml:space="preserve"> кој </w:t>
      </w:r>
      <w:r w:rsidR="00E37E9B">
        <w:rPr>
          <w:rFonts w:cs="Calibri"/>
          <w:bdr w:val="nil"/>
          <w:lang w:val="mk-MK" w:bidi="mk-MK"/>
        </w:rPr>
        <w:t xml:space="preserve">најчесто </w:t>
      </w:r>
      <w:r>
        <w:rPr>
          <w:rFonts w:cs="Calibri"/>
          <w:bdr w:val="nil"/>
          <w:lang w:val="mk-MK" w:bidi="mk-MK"/>
        </w:rPr>
        <w:t>се користи за горење на јаглен/лигн</w:t>
      </w:r>
      <w:r w:rsidR="00587288">
        <w:rPr>
          <w:rFonts w:cs="Calibri"/>
          <w:bdr w:val="nil"/>
          <w:lang w:val="mk-MK" w:bidi="mk-MK"/>
        </w:rPr>
        <w:t>ит.  Смесата од гориво/гас се в</w:t>
      </w:r>
      <w:r>
        <w:rPr>
          <w:rFonts w:cs="Calibri"/>
          <w:bdr w:val="nil"/>
          <w:lang w:val="mk-MK" w:bidi="mk-MK"/>
        </w:rPr>
        <w:t>б</w:t>
      </w:r>
      <w:r w:rsidR="00587288">
        <w:rPr>
          <w:rFonts w:cs="Calibri"/>
          <w:bdr w:val="nil"/>
          <w:lang w:val="mk-MK" w:bidi="mk-MK"/>
        </w:rPr>
        <w:t>р</w:t>
      </w:r>
      <w:r>
        <w:rPr>
          <w:rFonts w:cs="Calibri"/>
          <w:bdr w:val="nil"/>
          <w:lang w:val="mk-MK" w:bidi="mk-MK"/>
        </w:rPr>
        <w:t xml:space="preserve">изгува низ прскалки во комората за согорување и тука се согорува со </w:t>
      </w:r>
      <w:r w:rsidR="00587288">
        <w:rPr>
          <w:rFonts w:cs="Calibri"/>
          <w:bdr w:val="nil"/>
          <w:lang w:val="mk-MK" w:bidi="mk-MK"/>
        </w:rPr>
        <w:t xml:space="preserve">додавање на </w:t>
      </w:r>
      <w:r>
        <w:rPr>
          <w:rFonts w:cs="Calibri"/>
          <w:bdr w:val="nil"/>
          <w:lang w:val="mk-MK" w:bidi="mk-MK"/>
        </w:rPr>
        <w:t xml:space="preserve">дополнителен воздух за согорување.  </w:t>
      </w:r>
      <w:r w:rsidR="00587288">
        <w:rPr>
          <w:rFonts w:cs="Calibri"/>
          <w:bdr w:val="nil"/>
          <w:lang w:val="mk-MK" w:bidi="mk-MK"/>
        </w:rPr>
        <w:t>Посебни</w:t>
      </w:r>
      <w:r>
        <w:rPr>
          <w:rFonts w:cs="Calibri"/>
          <w:bdr w:val="nil"/>
          <w:lang w:val="mk-MK" w:bidi="mk-MK"/>
        </w:rPr>
        <w:t xml:space="preserve"> горилници се користат за палење и гаснење на котелот.  Овие горилници често пати се на нафта или на гас.  Постојат различни видови на горилници на јаглен за котлите на јаглен и лигнит (со странично палење, со аголно палење, со вертикално палење).  </w:t>
      </w:r>
    </w:p>
    <w:p w14:paraId="7B90687B" w14:textId="190AC6EC" w:rsidR="00B16C23" w:rsidRDefault="00B16C04" w:rsidP="00B16C23">
      <w:pPr>
        <w:rPr>
          <w:lang w:val="ro-RO"/>
        </w:rPr>
      </w:pPr>
      <w:r>
        <w:rPr>
          <w:rFonts w:cs="Calibri"/>
          <w:bdr w:val="nil"/>
          <w:lang w:val="mk-MK" w:bidi="mk-MK"/>
        </w:rPr>
        <w:t xml:space="preserve">Покрај горенаведените можности за согорување </w:t>
      </w:r>
      <w:r w:rsidR="00A44AC1">
        <w:rPr>
          <w:rFonts w:cs="Calibri"/>
          <w:bdr w:val="nil"/>
          <w:lang w:val="mk-MK" w:bidi="mk-MK"/>
        </w:rPr>
        <w:t xml:space="preserve">на </w:t>
      </w:r>
      <w:r>
        <w:rPr>
          <w:rFonts w:cs="Calibri"/>
          <w:bdr w:val="nil"/>
          <w:lang w:val="mk-MK" w:bidi="mk-MK"/>
        </w:rPr>
        <w:t xml:space="preserve">јаглен/лигнит, исто така се применуваат и други техники на согорување како на пример различни видови на согорување во флуидизиран слој (главно во помали постројки) и горење со решетка. Процесот на согорување при горењето со решетка не е толку добро контролиран како кај горилниците со пулверизирано гориво. Сепак, горењето со решетка </w:t>
      </w:r>
      <w:r w:rsidRPr="00A44AC1">
        <w:rPr>
          <w:rFonts w:asciiTheme="minorHAnsi" w:hAnsiTheme="minorHAnsi" w:cstheme="minorHAnsi"/>
          <w:bdr w:val="nil"/>
          <w:lang w:val="mk-MK" w:bidi="mk-MK"/>
        </w:rPr>
        <w:t>с</w:t>
      </w:r>
      <w:r w:rsidR="00A44AC1" w:rsidRPr="00A44AC1">
        <w:rPr>
          <w:rFonts w:asciiTheme="minorHAnsi" w:hAnsiTheme="minorHAnsi" w:cstheme="minorHAnsi"/>
          <w:bdr w:val="nil"/>
          <w:lang w:val="mk-MK" w:bidi="mk-MK"/>
        </w:rPr>
        <w:t>è</w:t>
      </w:r>
      <w:r>
        <w:rPr>
          <w:rFonts w:cs="Calibri"/>
          <w:bdr w:val="nil"/>
          <w:lang w:val="mk-MK" w:bidi="mk-MK"/>
        </w:rPr>
        <w:t xml:space="preserve"> уште се применува кај мали</w:t>
      </w:r>
      <w:r w:rsidR="00A44AC1">
        <w:rPr>
          <w:rFonts w:cs="Calibri"/>
          <w:bdr w:val="nil"/>
          <w:lang w:val="mk-MK" w:bidi="mk-MK"/>
        </w:rPr>
        <w:t xml:space="preserve"> котли за јаглен, главно во инд</w:t>
      </w:r>
      <w:r>
        <w:rPr>
          <w:rFonts w:cs="Calibri"/>
          <w:bdr w:val="nil"/>
          <w:lang w:val="mk-MK" w:bidi="mk-MK"/>
        </w:rPr>
        <w:t>устриските постројки и во локалните постројки за централно греење</w:t>
      </w:r>
      <w:r w:rsidR="00A44AC1">
        <w:rPr>
          <w:rFonts w:cs="Calibri"/>
          <w:bdr w:val="nil"/>
          <w:lang w:val="mk-MK" w:bidi="mk-MK"/>
        </w:rPr>
        <w:t>.</w:t>
      </w:r>
      <w:r>
        <w:rPr>
          <w:rFonts w:cs="Calibri"/>
          <w:bdr w:val="nil"/>
          <w:lang w:val="mk-MK" w:bidi="mk-MK"/>
        </w:rPr>
        <w:t xml:space="preserve"> </w:t>
      </w:r>
    </w:p>
    <w:p w14:paraId="6E051FF5" w14:textId="77777777" w:rsidR="00B16C23" w:rsidRDefault="00B16C04" w:rsidP="00B16C23">
      <w:pPr>
        <w:pStyle w:val="Heading3"/>
        <w:numPr>
          <w:ilvl w:val="2"/>
          <w:numId w:val="2"/>
        </w:numPr>
        <w:rPr>
          <w:lang w:val="ro-RO"/>
        </w:rPr>
      </w:pPr>
      <w:bookmarkStart w:id="24" w:name="_Toc444009821"/>
      <w:r>
        <w:rPr>
          <w:rFonts w:eastAsia="Calibri" w:cs="Calibri"/>
          <w:szCs w:val="28"/>
          <w:bdr w:val="nil"/>
          <w:lang w:val="mk-MK" w:bidi="mk-MK"/>
        </w:rPr>
        <w:lastRenderedPageBreak/>
        <w:t>Согорување на гас или течно гориво (нафта)</w:t>
      </w:r>
      <w:bookmarkEnd w:id="24"/>
      <w:r>
        <w:rPr>
          <w:rFonts w:eastAsia="Calibri" w:cs="Calibri"/>
          <w:szCs w:val="28"/>
          <w:bdr w:val="nil"/>
          <w:lang w:val="mk-MK" w:bidi="mk-MK"/>
        </w:rPr>
        <w:t xml:space="preserve"> </w:t>
      </w:r>
    </w:p>
    <w:p w14:paraId="55A7DBC9" w14:textId="08B5E7C4" w:rsidR="00B16C23" w:rsidRDefault="00B16C04" w:rsidP="00B16C23">
      <w:pPr>
        <w:rPr>
          <w:lang w:val="ro-RO"/>
        </w:rPr>
      </w:pPr>
      <w:r>
        <w:rPr>
          <w:rFonts w:cs="Calibri"/>
          <w:bdr w:val="nil"/>
          <w:lang w:val="mk-MK" w:bidi="mk-MK"/>
        </w:rPr>
        <w:t xml:space="preserve">Котлите дизајнирани да согоруваат течни или гасовити горива се многу слични </w:t>
      </w:r>
      <w:r w:rsidR="00A44AC1">
        <w:rPr>
          <w:rFonts w:cs="Calibri"/>
          <w:bdr w:val="nil"/>
          <w:lang w:val="mk-MK" w:bidi="mk-MK"/>
        </w:rPr>
        <w:t>со</w:t>
      </w:r>
      <w:r>
        <w:rPr>
          <w:rFonts w:cs="Calibri"/>
          <w:bdr w:val="nil"/>
          <w:lang w:val="mk-MK" w:bidi="mk-MK"/>
        </w:rPr>
        <w:t xml:space="preserve"> тие на јаглен.  Гасовитото гориво директно се согорува со воздухот, додека течните горива се прскаат во печката преку прскалки со што се создаваат многу мали капки атомизирани со пареа </w:t>
      </w:r>
      <w:r w:rsidR="00A44AC1">
        <w:rPr>
          <w:rFonts w:cs="Calibri"/>
          <w:bdr w:val="nil"/>
          <w:lang w:val="mk-MK" w:bidi="mk-MK"/>
        </w:rPr>
        <w:t xml:space="preserve">под </w:t>
      </w:r>
      <w:r>
        <w:rPr>
          <w:rFonts w:cs="Calibri"/>
          <w:bdr w:val="nil"/>
          <w:lang w:val="mk-MK" w:bidi="mk-MK"/>
        </w:rPr>
        <w:t>висок притисок и кои создаваат големо количество испарливи честички (испарливи јаглеводороди)</w:t>
      </w:r>
      <w:r w:rsidR="00A44AC1">
        <w:rPr>
          <w:rFonts w:cs="Calibri"/>
          <w:bdr w:val="nil"/>
          <w:lang w:val="mk-MK" w:bidi="mk-MK"/>
        </w:rPr>
        <w:t>.</w:t>
      </w:r>
    </w:p>
    <w:p w14:paraId="23A78982" w14:textId="13DA9E0C" w:rsidR="00B16C23" w:rsidRDefault="00A44AC1" w:rsidP="00B16C23">
      <w:pPr>
        <w:rPr>
          <w:lang w:val="ro-RO"/>
        </w:rPr>
      </w:pPr>
      <w:r>
        <w:rPr>
          <w:rFonts w:cs="Calibri"/>
          <w:bdr w:val="nil"/>
          <w:lang w:val="mk-MK" w:bidi="mk-MK"/>
        </w:rPr>
        <w:t>За трансформација на хемиската</w:t>
      </w:r>
      <w:r w:rsidR="00B16C04">
        <w:rPr>
          <w:rFonts w:cs="Calibri"/>
          <w:bdr w:val="nil"/>
          <w:lang w:val="mk-MK" w:bidi="mk-MK"/>
        </w:rPr>
        <w:t xml:space="preserve"> енергија од горивото во механичка енергија се користат гасни турбини.  Тие се користат за производство на електрична енергија и за придвиж</w:t>
      </w:r>
      <w:r>
        <w:rPr>
          <w:rFonts w:cs="Calibri"/>
          <w:bdr w:val="nil"/>
          <w:lang w:val="mk-MK" w:bidi="mk-MK"/>
        </w:rPr>
        <w:t xml:space="preserve">ување на </w:t>
      </w:r>
      <w:r w:rsidR="00B16C04">
        <w:rPr>
          <w:rFonts w:cs="Calibri"/>
          <w:bdr w:val="nil"/>
          <w:lang w:val="mk-MK" w:bidi="mk-MK"/>
        </w:rPr>
        <w:t xml:space="preserve">пумпите и компресорите.  Гасните турбини се повеќе се користат за производство на електрична енергија кога е потребно </w:t>
      </w:r>
      <w:r w:rsidR="00062DAF">
        <w:rPr>
          <w:rFonts w:cs="Calibri"/>
          <w:bdr w:val="nil"/>
          <w:lang w:val="mk-MK" w:bidi="mk-MK"/>
        </w:rPr>
        <w:t xml:space="preserve">во континуитет </w:t>
      </w:r>
      <w:r w:rsidR="00B16C04">
        <w:rPr>
          <w:rFonts w:cs="Calibri"/>
          <w:bdr w:val="nil"/>
          <w:lang w:val="mk-MK" w:bidi="mk-MK"/>
        </w:rPr>
        <w:t>да се задоволуваат минималните и средни барања за електрична енергија како и при итни потреби и максимални потреби за електрична енергија во големи мрежи.  Во изолирани подрачја гасните турбини работат на течно гориво, главно на дизел или на тешко гориво.  Гасните турбини кои се користат</w:t>
      </w:r>
      <w:r w:rsidR="00062DAF">
        <w:rPr>
          <w:rFonts w:cs="Calibri"/>
          <w:bdr w:val="nil"/>
          <w:lang w:val="mk-MK" w:bidi="mk-MK"/>
        </w:rPr>
        <w:t>,</w:t>
      </w:r>
      <w:r w:rsidR="00B16C04">
        <w:rPr>
          <w:rFonts w:cs="Calibri"/>
          <w:bdr w:val="nil"/>
          <w:lang w:val="mk-MK" w:bidi="mk-MK"/>
        </w:rPr>
        <w:t xml:space="preserve"> се со различен топлински капацитет од 100 kWel до 300 MWel. Обично работат на природен гас, но гасните турбини можат да користат и други гасови како на пример нискокалориски гасови од биомаса или од гасификација со јаглен.   Индустриските гасни турбини можат да согоруваат различни видови течни горива, но </w:t>
      </w:r>
      <w:r w:rsidR="00062DAF">
        <w:rPr>
          <w:rFonts w:cs="Calibri"/>
          <w:bdr w:val="nil"/>
          <w:lang w:val="mk-MK" w:bidi="mk-MK"/>
        </w:rPr>
        <w:t xml:space="preserve">во таков случај </w:t>
      </w:r>
      <w:r w:rsidR="00B16C04">
        <w:rPr>
          <w:rFonts w:cs="Calibri"/>
          <w:bdr w:val="nil"/>
          <w:lang w:val="mk-MK" w:bidi="mk-MK"/>
        </w:rPr>
        <w:t xml:space="preserve">потребни </w:t>
      </w:r>
      <w:r w:rsidR="00062DAF">
        <w:rPr>
          <w:rFonts w:cs="Calibri"/>
          <w:bdr w:val="nil"/>
          <w:lang w:val="mk-MK" w:bidi="mk-MK"/>
        </w:rPr>
        <w:t xml:space="preserve">се </w:t>
      </w:r>
      <w:r w:rsidR="00B16C04">
        <w:rPr>
          <w:rFonts w:cs="Calibri"/>
          <w:bdr w:val="nil"/>
          <w:lang w:val="mk-MK" w:bidi="mk-MK"/>
        </w:rPr>
        <w:t xml:space="preserve">сеопфатни системи за третирање на издувните гасови. </w:t>
      </w:r>
    </w:p>
    <w:p w14:paraId="6D5311BF" w14:textId="7D2A0180" w:rsidR="00B16C23" w:rsidRDefault="00B16C04" w:rsidP="00B16C23">
      <w:pPr>
        <w:rPr>
          <w:lang w:val="ro-RO"/>
        </w:rPr>
      </w:pPr>
      <w:r>
        <w:rPr>
          <w:rFonts w:cs="Calibri"/>
          <w:bdr w:val="nil"/>
          <w:lang w:val="mk-MK" w:bidi="mk-MK"/>
        </w:rPr>
        <w:t>Гасните турбини честопати се користат во постројки за ко</w:t>
      </w:r>
      <w:r w:rsidR="00062DAF">
        <w:rPr>
          <w:rFonts w:cs="Calibri"/>
          <w:bdr w:val="nil"/>
          <w:lang w:val="mk-MK" w:bidi="mk-MK"/>
        </w:rPr>
        <w:t>генерација и комбиниран циклус, во г</w:t>
      </w:r>
      <w:r>
        <w:rPr>
          <w:rFonts w:cs="Calibri"/>
          <w:bdr w:val="nil"/>
          <w:lang w:val="mk-MK" w:bidi="mk-MK"/>
        </w:rPr>
        <w:t xml:space="preserve">асни и парни турбини, </w:t>
      </w:r>
      <w:r w:rsidR="00062DAF">
        <w:rPr>
          <w:rFonts w:cs="Calibri"/>
          <w:bdr w:val="nil"/>
          <w:lang w:val="mk-MK" w:bidi="mk-MK"/>
        </w:rPr>
        <w:t xml:space="preserve">и при </w:t>
      </w:r>
      <w:r>
        <w:rPr>
          <w:rFonts w:cs="Calibri"/>
          <w:bdr w:val="nil"/>
          <w:lang w:val="mk-MK" w:bidi="mk-MK"/>
        </w:rPr>
        <w:t>комбинирано производство на топлинска и електрична енергија.</w:t>
      </w:r>
    </w:p>
    <w:p w14:paraId="26DCBE34" w14:textId="45403035" w:rsidR="00B16C23" w:rsidRPr="00917355" w:rsidRDefault="00B16C04" w:rsidP="00B16C23">
      <w:pPr>
        <w:rPr>
          <w:lang w:val="ro-RO"/>
        </w:rPr>
      </w:pPr>
      <w:r>
        <w:rPr>
          <w:rFonts w:cs="Calibri"/>
          <w:bdr w:val="nil"/>
          <w:lang w:val="mk-MK" w:bidi="mk-MK"/>
        </w:rPr>
        <w:t xml:space="preserve">Цилиндричните мотори имаат еден или повеќе цилиндри во кои се случува согорувањето на горивото.  Хемиската енергија од горивото се трансформира во механичка енергија на истиот начин како и кај автомобилските мотори (Ото или Дизел).  Ото моторите кои се палат на искри честопати работат </w:t>
      </w:r>
      <w:r w:rsidR="00062DAF">
        <w:rPr>
          <w:rFonts w:cs="Calibri"/>
          <w:bdr w:val="nil"/>
          <w:lang w:val="mk-MK" w:bidi="mk-MK"/>
        </w:rPr>
        <w:t>на</w:t>
      </w:r>
      <w:r>
        <w:rPr>
          <w:rFonts w:cs="Calibri"/>
          <w:bdr w:val="nil"/>
          <w:lang w:val="mk-MK" w:bidi="mk-MK"/>
        </w:rPr>
        <w:t xml:space="preserve"> концептот на посно согорување што значи дека во цилиндарот има повеќе воздух отколку што е потребно за согорувањето.  Моторите кои работат на две горива можат да функционираат со различни количества на гориво и со различни видови гориво.    </w:t>
      </w:r>
    </w:p>
    <w:p w14:paraId="7D79A76E" w14:textId="77777777" w:rsidR="00B16C23" w:rsidRDefault="00B16C04" w:rsidP="00B16C23">
      <w:pPr>
        <w:pStyle w:val="Heading2"/>
        <w:numPr>
          <w:ilvl w:val="1"/>
          <w:numId w:val="2"/>
        </w:numPr>
        <w:rPr>
          <w:lang w:val="ro-RO"/>
        </w:rPr>
      </w:pPr>
      <w:bookmarkStart w:id="25" w:name="_Toc444009822"/>
      <w:r>
        <w:rPr>
          <w:rFonts w:eastAsia="Calibri" w:cs="Calibri"/>
          <w:szCs w:val="32"/>
          <w:bdr w:val="nil"/>
          <w:lang w:val="mk-MK" w:bidi="mk-MK"/>
        </w:rPr>
        <w:t>Дијаграм на процесот на производство</w:t>
      </w:r>
      <w:bookmarkEnd w:id="25"/>
      <w:r>
        <w:rPr>
          <w:rFonts w:eastAsia="Calibri" w:cs="Calibri"/>
          <w:szCs w:val="32"/>
          <w:bdr w:val="nil"/>
          <w:lang w:val="mk-MK" w:bidi="mk-MK"/>
        </w:rPr>
        <w:t xml:space="preserve"> </w:t>
      </w:r>
    </w:p>
    <w:p w14:paraId="3F191F4C" w14:textId="77777777" w:rsidR="00B16C23" w:rsidRDefault="00B16C23" w:rsidP="00B16C23">
      <w:pPr>
        <w:rPr>
          <w:lang w:val="ro-RO"/>
        </w:rPr>
      </w:pPr>
    </w:p>
    <w:p w14:paraId="41D275A9" w14:textId="66BBAC74" w:rsidR="00B16C23" w:rsidRPr="00855441" w:rsidRDefault="00DB3BB8" w:rsidP="00B16C23">
      <w:pPr>
        <w:jc w:val="center"/>
        <w:rPr>
          <w:lang w:val="ro-RO"/>
        </w:rPr>
      </w:pPr>
      <w:r>
        <w:rPr>
          <w:noProof/>
          <w:lang w:val="es-ES" w:eastAsia="es-ES"/>
        </w:rPr>
        <w:lastRenderedPageBreak/>
        <w:drawing>
          <wp:inline distT="0" distB="0" distL="0" distR="0" wp14:anchorId="48D3CCF6" wp14:editId="4015521F">
            <wp:extent cx="3699690" cy="355507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P 1.png"/>
                    <pic:cNvPicPr/>
                  </pic:nvPicPr>
                  <pic:blipFill>
                    <a:blip r:embed="rId8">
                      <a:extLst>
                        <a:ext uri="{28A0092B-C50C-407E-A947-70E740481C1C}">
                          <a14:useLocalDpi xmlns:a14="http://schemas.microsoft.com/office/drawing/2010/main" val="0"/>
                        </a:ext>
                      </a:extLst>
                    </a:blip>
                    <a:stretch>
                      <a:fillRect/>
                    </a:stretch>
                  </pic:blipFill>
                  <pic:spPr>
                    <a:xfrm>
                      <a:off x="0" y="0"/>
                      <a:ext cx="3714038" cy="3568865"/>
                    </a:xfrm>
                    <a:prstGeom prst="rect">
                      <a:avLst/>
                    </a:prstGeom>
                  </pic:spPr>
                </pic:pic>
              </a:graphicData>
            </a:graphic>
          </wp:inline>
        </w:drawing>
      </w:r>
    </w:p>
    <w:p w14:paraId="41F8A013" w14:textId="77777777" w:rsidR="00B16C23" w:rsidRDefault="00B16C04" w:rsidP="00B16C23">
      <w:pPr>
        <w:jc w:val="center"/>
        <w:rPr>
          <w:lang w:val="ro-RO"/>
        </w:rPr>
      </w:pPr>
      <w:r>
        <w:rPr>
          <w:rFonts w:cs="Calibri"/>
          <w:bdr w:val="nil"/>
          <w:lang w:val="mk-MK" w:bidi="mk-MK"/>
        </w:rPr>
        <w:t xml:space="preserve">Слика 1: Дијаграм на електроцентрала која работи на јаглен/лигнит (вид на котел) </w:t>
      </w:r>
    </w:p>
    <w:p w14:paraId="7A21BDE8" w14:textId="77777777" w:rsidR="00B16C23" w:rsidRDefault="00B16C23" w:rsidP="00B16C23">
      <w:pPr>
        <w:jc w:val="center"/>
        <w:rPr>
          <w:lang w:val="ro-RO"/>
        </w:rPr>
      </w:pPr>
    </w:p>
    <w:p w14:paraId="7B7F78A5" w14:textId="77777777" w:rsidR="00B16C23" w:rsidRDefault="00B16C23" w:rsidP="00B16C23">
      <w:pPr>
        <w:jc w:val="center"/>
        <w:rPr>
          <w:lang w:val="ro-RO"/>
        </w:rPr>
      </w:pPr>
    </w:p>
    <w:p w14:paraId="64444C73" w14:textId="77777777" w:rsidR="00B16C23" w:rsidRDefault="00B16C23" w:rsidP="00B16C23">
      <w:pPr>
        <w:jc w:val="center"/>
        <w:rPr>
          <w:lang w:val="ro-RO"/>
        </w:rPr>
      </w:pPr>
    </w:p>
    <w:p w14:paraId="2B35B105" w14:textId="77777777" w:rsidR="00B16C23" w:rsidRDefault="00B16C23" w:rsidP="00B16C23">
      <w:pPr>
        <w:jc w:val="center"/>
        <w:rPr>
          <w:lang w:val="ro-RO"/>
        </w:rPr>
      </w:pPr>
    </w:p>
    <w:p w14:paraId="45D4CD1B" w14:textId="4AF94B1A" w:rsidR="00B16C23" w:rsidRPr="00855441" w:rsidRDefault="00090714" w:rsidP="00B16C23">
      <w:pPr>
        <w:jc w:val="center"/>
        <w:rPr>
          <w:lang w:val="ro-RO"/>
        </w:rPr>
      </w:pPr>
      <w:r>
        <w:rPr>
          <w:noProof/>
          <w:lang w:val="es-ES" w:eastAsia="es-ES"/>
        </w:rPr>
        <w:lastRenderedPageBreak/>
        <w:drawing>
          <wp:inline distT="0" distB="0" distL="0" distR="0" wp14:anchorId="58C31237" wp14:editId="34950F73">
            <wp:extent cx="5760720" cy="3878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P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878580"/>
                    </a:xfrm>
                    <a:prstGeom prst="rect">
                      <a:avLst/>
                    </a:prstGeom>
                  </pic:spPr>
                </pic:pic>
              </a:graphicData>
            </a:graphic>
          </wp:inline>
        </w:drawing>
      </w:r>
    </w:p>
    <w:p w14:paraId="0FCD58CE" w14:textId="77777777" w:rsidR="00B16C23" w:rsidRPr="00623485" w:rsidRDefault="00B16C04" w:rsidP="00B16C23">
      <w:pPr>
        <w:jc w:val="center"/>
        <w:rPr>
          <w:szCs w:val="24"/>
          <w:lang w:val="ro-RO"/>
        </w:rPr>
      </w:pPr>
      <w:r>
        <w:rPr>
          <w:rFonts w:cs="Calibri"/>
          <w:bdr w:val="nil"/>
          <w:lang w:val="mk-MK" w:bidi="mk-MK"/>
        </w:rPr>
        <w:t xml:space="preserve">Слика 2: Емисии и можни параметри за мониторинг </w:t>
      </w:r>
    </w:p>
    <w:p w14:paraId="53D4A210" w14:textId="3D7C9DBF" w:rsidR="00B16C23" w:rsidRDefault="00216C36" w:rsidP="00B16C23">
      <w:pPr>
        <w:ind w:left="510"/>
        <w:jc w:val="center"/>
        <w:rPr>
          <w:lang w:val="ro-RO"/>
        </w:rPr>
      </w:pPr>
      <w:r>
        <w:rPr>
          <w:noProof/>
          <w:lang w:val="es-ES" w:eastAsia="es-ES"/>
        </w:rPr>
        <w:drawing>
          <wp:inline distT="0" distB="0" distL="0" distR="0" wp14:anchorId="70BC7A48" wp14:editId="2819C601">
            <wp:extent cx="45720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CP 3.jpg"/>
                    <pic:cNvPicPr/>
                  </pic:nvPicPr>
                  <pic:blipFill>
                    <a:blip r:embed="rId10">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F5A27BE" w14:textId="77777777" w:rsidR="00B16C23" w:rsidRPr="00623485" w:rsidRDefault="00B16C04" w:rsidP="00B16C23">
      <w:pPr>
        <w:jc w:val="center"/>
        <w:rPr>
          <w:szCs w:val="24"/>
          <w:lang w:val="ro-RO"/>
        </w:rPr>
      </w:pPr>
      <w:r>
        <w:rPr>
          <w:rFonts w:cs="Calibri"/>
          <w:bdr w:val="nil"/>
          <w:lang w:val="mk-MK" w:bidi="mk-MK"/>
        </w:rPr>
        <w:t>Слика 3: Дијаграм на постројка со гасна турбина со комбиниран циклус</w:t>
      </w:r>
    </w:p>
    <w:p w14:paraId="60B35506" w14:textId="77777777" w:rsidR="00B16C23" w:rsidRPr="00623485" w:rsidRDefault="00B16C04" w:rsidP="00B16C23">
      <w:pPr>
        <w:pStyle w:val="Heading1"/>
        <w:numPr>
          <w:ilvl w:val="0"/>
          <w:numId w:val="1"/>
        </w:numPr>
        <w:rPr>
          <w:lang w:val="ro-RO"/>
        </w:rPr>
      </w:pPr>
      <w:r>
        <w:rPr>
          <w:rFonts w:eastAsia="Calibri" w:cs="Calibri"/>
          <w:iCs/>
          <w:szCs w:val="40"/>
          <w:bdr w:val="nil"/>
          <w:lang w:val="mk-MK" w:bidi="mk-MK"/>
        </w:rPr>
        <w:br w:type="page"/>
      </w:r>
      <w:bookmarkStart w:id="26" w:name="_Toc444009823"/>
      <w:r>
        <w:rPr>
          <w:rFonts w:eastAsia="Calibri" w:cs="Calibri"/>
          <w:iCs/>
          <w:szCs w:val="40"/>
          <w:bdr w:val="nil"/>
          <w:lang w:val="mk-MK" w:bidi="mk-MK"/>
        </w:rPr>
        <w:lastRenderedPageBreak/>
        <w:t>Краток опис на секторот во Република Македонија</w:t>
      </w:r>
      <w:bookmarkEnd w:id="26"/>
      <w:r>
        <w:rPr>
          <w:rFonts w:eastAsia="Calibri" w:cs="Calibri"/>
          <w:iCs/>
          <w:szCs w:val="40"/>
          <w:bdr w:val="nil"/>
          <w:lang w:val="mk-MK" w:bidi="mk-MK"/>
        </w:rPr>
        <w:t xml:space="preserve"> </w:t>
      </w:r>
    </w:p>
    <w:p w14:paraId="5AD1BF70" w14:textId="77777777" w:rsidR="00B16C23" w:rsidRPr="00917355" w:rsidRDefault="00B16C23" w:rsidP="00B16C23">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ro-RO"/>
        </w:rPr>
      </w:pPr>
      <w:bookmarkStart w:id="27" w:name="_Toc429394548"/>
      <w:bookmarkStart w:id="28" w:name="_Toc429394963"/>
      <w:bookmarkStart w:id="29" w:name="_Toc429501980"/>
      <w:bookmarkStart w:id="30" w:name="_Toc438141026"/>
      <w:bookmarkStart w:id="31" w:name="_Toc438142922"/>
      <w:bookmarkStart w:id="32" w:name="_Toc438216267"/>
      <w:bookmarkStart w:id="33" w:name="_Toc440476962"/>
      <w:bookmarkStart w:id="34" w:name="_Toc440899864"/>
      <w:bookmarkStart w:id="35" w:name="_Toc440978646"/>
      <w:bookmarkStart w:id="36" w:name="_Toc444009824"/>
      <w:bookmarkEnd w:id="27"/>
      <w:bookmarkEnd w:id="28"/>
      <w:bookmarkEnd w:id="29"/>
      <w:bookmarkEnd w:id="30"/>
      <w:bookmarkEnd w:id="31"/>
      <w:bookmarkEnd w:id="32"/>
      <w:bookmarkEnd w:id="33"/>
      <w:bookmarkEnd w:id="34"/>
      <w:bookmarkEnd w:id="35"/>
      <w:bookmarkEnd w:id="36"/>
    </w:p>
    <w:p w14:paraId="3BAA19FC" w14:textId="77777777" w:rsidR="00B16C23" w:rsidRDefault="00B16C04" w:rsidP="00B16C23">
      <w:pPr>
        <w:pStyle w:val="Heading2"/>
        <w:numPr>
          <w:ilvl w:val="1"/>
          <w:numId w:val="2"/>
        </w:numPr>
        <w:rPr>
          <w:lang w:val="ro-RO"/>
        </w:rPr>
      </w:pPr>
      <w:bookmarkStart w:id="37" w:name="_Toc444009825"/>
      <w:r>
        <w:rPr>
          <w:rFonts w:eastAsia="Calibri" w:cs="Calibri"/>
          <w:szCs w:val="32"/>
          <w:bdr w:val="nil"/>
          <w:lang w:val="mk-MK" w:bidi="mk-MK"/>
        </w:rPr>
        <w:t>Каде се лоцирани објектите?</w:t>
      </w:r>
      <w:bookmarkEnd w:id="37"/>
    </w:p>
    <w:p w14:paraId="4228F993" w14:textId="77777777" w:rsidR="0073169A" w:rsidRPr="0069413C" w:rsidRDefault="0073169A" w:rsidP="0073169A">
      <w:pPr>
        <w:pStyle w:val="Default"/>
        <w:jc w:val="both"/>
        <w:rPr>
          <w:rFonts w:asciiTheme="minorHAnsi" w:hAnsiTheme="minorHAnsi"/>
          <w:sz w:val="22"/>
          <w:szCs w:val="22"/>
          <w:lang w:val="mk-MK"/>
        </w:rPr>
      </w:pPr>
      <w:r w:rsidRPr="0073169A">
        <w:rPr>
          <w:rFonts w:asciiTheme="minorHAnsi" w:hAnsiTheme="minorHAnsi"/>
          <w:sz w:val="22"/>
          <w:szCs w:val="22"/>
          <w:lang w:val="ro-RO"/>
        </w:rPr>
        <w:t xml:space="preserve">Во Република Македонија целокупната електрична енергија се произведува од различни видови на постројки и тоа: </w:t>
      </w:r>
    </w:p>
    <w:p w14:paraId="38FB60A8" w14:textId="77777777" w:rsidR="0073169A" w:rsidRPr="0069413C" w:rsidRDefault="0073169A" w:rsidP="0073169A">
      <w:pPr>
        <w:pStyle w:val="Default"/>
        <w:jc w:val="both"/>
        <w:rPr>
          <w:rFonts w:asciiTheme="minorHAnsi" w:hAnsiTheme="minorHAnsi"/>
          <w:sz w:val="22"/>
          <w:szCs w:val="22"/>
          <w:lang w:val="mk-MK"/>
        </w:rPr>
      </w:pPr>
    </w:p>
    <w:p w14:paraId="1EB7E839" w14:textId="77777777" w:rsidR="0073169A" w:rsidRPr="0069413C" w:rsidRDefault="0073169A" w:rsidP="0073169A">
      <w:pPr>
        <w:pStyle w:val="Default"/>
        <w:numPr>
          <w:ilvl w:val="0"/>
          <w:numId w:val="23"/>
        </w:numPr>
        <w:autoSpaceDE w:val="0"/>
        <w:autoSpaceDN w:val="0"/>
        <w:adjustRightInd w:val="0"/>
        <w:spacing w:after="94"/>
        <w:jc w:val="both"/>
        <w:rPr>
          <w:rFonts w:asciiTheme="minorHAnsi" w:hAnsiTheme="minorHAnsi"/>
          <w:sz w:val="22"/>
          <w:szCs w:val="22"/>
        </w:rPr>
      </w:pPr>
      <w:r w:rsidRPr="0069413C">
        <w:rPr>
          <w:rFonts w:asciiTheme="minorHAnsi" w:hAnsiTheme="minorHAnsi"/>
          <w:sz w:val="22"/>
          <w:szCs w:val="22"/>
        </w:rPr>
        <w:t xml:space="preserve">термоелектроцентрали, </w:t>
      </w:r>
    </w:p>
    <w:p w14:paraId="1054885C" w14:textId="77777777" w:rsidR="0073169A" w:rsidRPr="0069413C" w:rsidRDefault="0073169A" w:rsidP="0073169A">
      <w:pPr>
        <w:pStyle w:val="Default"/>
        <w:numPr>
          <w:ilvl w:val="0"/>
          <w:numId w:val="23"/>
        </w:numPr>
        <w:autoSpaceDE w:val="0"/>
        <w:autoSpaceDN w:val="0"/>
        <w:adjustRightInd w:val="0"/>
        <w:spacing w:after="94"/>
        <w:jc w:val="both"/>
        <w:rPr>
          <w:rFonts w:asciiTheme="minorHAnsi" w:hAnsiTheme="minorHAnsi"/>
          <w:sz w:val="22"/>
          <w:szCs w:val="22"/>
        </w:rPr>
      </w:pPr>
      <w:r w:rsidRPr="0069413C">
        <w:rPr>
          <w:rFonts w:asciiTheme="minorHAnsi" w:hAnsiTheme="minorHAnsi"/>
          <w:sz w:val="22"/>
          <w:szCs w:val="22"/>
        </w:rPr>
        <w:t xml:space="preserve">хидроелектроцентрали, </w:t>
      </w:r>
    </w:p>
    <w:p w14:paraId="15FFE700" w14:textId="77777777" w:rsidR="0073169A" w:rsidRPr="0069413C" w:rsidRDefault="0073169A" w:rsidP="0073169A">
      <w:pPr>
        <w:pStyle w:val="Default"/>
        <w:numPr>
          <w:ilvl w:val="0"/>
          <w:numId w:val="23"/>
        </w:numPr>
        <w:autoSpaceDE w:val="0"/>
        <w:autoSpaceDN w:val="0"/>
        <w:adjustRightInd w:val="0"/>
        <w:spacing w:after="94"/>
        <w:jc w:val="both"/>
        <w:rPr>
          <w:rFonts w:asciiTheme="minorHAnsi" w:hAnsiTheme="minorHAnsi"/>
          <w:sz w:val="22"/>
          <w:szCs w:val="22"/>
        </w:rPr>
      </w:pPr>
      <w:r w:rsidRPr="0069413C">
        <w:rPr>
          <w:rFonts w:asciiTheme="minorHAnsi" w:hAnsiTheme="minorHAnsi"/>
          <w:sz w:val="22"/>
          <w:szCs w:val="22"/>
        </w:rPr>
        <w:t xml:space="preserve">комбинирани постројки, </w:t>
      </w:r>
    </w:p>
    <w:p w14:paraId="154D999C" w14:textId="77777777" w:rsidR="0073169A" w:rsidRPr="0069413C" w:rsidRDefault="0073169A" w:rsidP="0073169A">
      <w:pPr>
        <w:pStyle w:val="Default"/>
        <w:numPr>
          <w:ilvl w:val="0"/>
          <w:numId w:val="23"/>
        </w:numPr>
        <w:autoSpaceDE w:val="0"/>
        <w:autoSpaceDN w:val="0"/>
        <w:adjustRightInd w:val="0"/>
        <w:spacing w:after="94"/>
        <w:jc w:val="both"/>
        <w:rPr>
          <w:rFonts w:asciiTheme="minorHAnsi" w:hAnsiTheme="minorHAnsi"/>
          <w:sz w:val="22"/>
          <w:szCs w:val="22"/>
        </w:rPr>
      </w:pPr>
      <w:r w:rsidRPr="0069413C">
        <w:rPr>
          <w:rFonts w:asciiTheme="minorHAnsi" w:hAnsiTheme="minorHAnsi"/>
          <w:sz w:val="22"/>
          <w:szCs w:val="22"/>
        </w:rPr>
        <w:t xml:space="preserve">ветерни електроцентрали и </w:t>
      </w:r>
    </w:p>
    <w:p w14:paraId="5D0AA866" w14:textId="77777777" w:rsidR="0073169A" w:rsidRPr="0069413C" w:rsidRDefault="0073169A" w:rsidP="0073169A">
      <w:pPr>
        <w:pStyle w:val="Default"/>
        <w:numPr>
          <w:ilvl w:val="0"/>
          <w:numId w:val="23"/>
        </w:numPr>
        <w:autoSpaceDE w:val="0"/>
        <w:autoSpaceDN w:val="0"/>
        <w:adjustRightInd w:val="0"/>
        <w:jc w:val="both"/>
        <w:rPr>
          <w:rFonts w:asciiTheme="minorHAnsi" w:hAnsiTheme="minorHAnsi"/>
          <w:sz w:val="22"/>
          <w:szCs w:val="22"/>
        </w:rPr>
      </w:pPr>
      <w:r w:rsidRPr="0069413C">
        <w:rPr>
          <w:rFonts w:asciiTheme="minorHAnsi" w:hAnsiTheme="minorHAnsi"/>
          <w:sz w:val="22"/>
          <w:szCs w:val="22"/>
        </w:rPr>
        <w:t xml:space="preserve">фотонапонски електроцентрали. </w:t>
      </w:r>
    </w:p>
    <w:p w14:paraId="7CEB29C4" w14:textId="77777777" w:rsidR="0073169A" w:rsidRPr="0069413C" w:rsidRDefault="0073169A" w:rsidP="0073169A">
      <w:pPr>
        <w:pStyle w:val="Default"/>
        <w:jc w:val="both"/>
        <w:rPr>
          <w:rFonts w:asciiTheme="minorHAnsi" w:hAnsiTheme="minorHAnsi"/>
          <w:sz w:val="22"/>
          <w:szCs w:val="22"/>
        </w:rPr>
      </w:pPr>
    </w:p>
    <w:p w14:paraId="64AE46CD" w14:textId="77777777" w:rsidR="0073169A" w:rsidRPr="0069413C" w:rsidRDefault="0073169A" w:rsidP="0073169A">
      <w:pPr>
        <w:pStyle w:val="Default"/>
        <w:jc w:val="both"/>
        <w:rPr>
          <w:rFonts w:asciiTheme="minorHAnsi" w:hAnsiTheme="minorHAnsi"/>
          <w:sz w:val="22"/>
          <w:szCs w:val="22"/>
        </w:rPr>
      </w:pPr>
      <w:r w:rsidRPr="0069413C">
        <w:rPr>
          <w:rFonts w:asciiTheme="minorHAnsi" w:hAnsiTheme="minorHAnsi"/>
          <w:sz w:val="22"/>
          <w:szCs w:val="22"/>
        </w:rPr>
        <w:t>Вкупниот инсталиран капацитет на постројките за производство на електрична енергија во Македонија изнесува 2.011,25 MW.</w:t>
      </w:r>
    </w:p>
    <w:p w14:paraId="0CDF1765" w14:textId="77777777" w:rsidR="0073169A" w:rsidRPr="0069413C" w:rsidRDefault="0073169A" w:rsidP="0073169A">
      <w:pPr>
        <w:pStyle w:val="Default"/>
        <w:jc w:val="both"/>
        <w:rPr>
          <w:rFonts w:asciiTheme="minorHAnsi" w:hAnsiTheme="minorHAnsi"/>
          <w:sz w:val="22"/>
          <w:szCs w:val="22"/>
        </w:rPr>
      </w:pPr>
      <w:r w:rsidRPr="0069413C">
        <w:rPr>
          <w:rFonts w:asciiTheme="minorHAnsi" w:hAnsiTheme="minorHAnsi"/>
          <w:sz w:val="22"/>
          <w:szCs w:val="22"/>
        </w:rPr>
        <w:t>Најголем производител на електрична енергија во Македонија е АД ЕЛЕМ</w:t>
      </w:r>
      <w:r w:rsidRPr="0069413C">
        <w:rPr>
          <w:rFonts w:asciiTheme="minorHAnsi" w:hAnsiTheme="minorHAnsi"/>
          <w:sz w:val="22"/>
          <w:szCs w:val="22"/>
          <w:lang w:val="mk-MK"/>
        </w:rPr>
        <w:t xml:space="preserve"> </w:t>
      </w:r>
      <w:r w:rsidRPr="0069413C">
        <w:rPr>
          <w:rFonts w:asciiTheme="minorHAnsi" w:hAnsiTheme="minorHAnsi"/>
          <w:sz w:val="22"/>
          <w:szCs w:val="22"/>
        </w:rPr>
        <w:t xml:space="preserve">Скопје. </w:t>
      </w:r>
    </w:p>
    <w:p w14:paraId="659126E6" w14:textId="77777777" w:rsidR="0073169A" w:rsidRPr="0069413C" w:rsidRDefault="0073169A" w:rsidP="0073169A">
      <w:pPr>
        <w:rPr>
          <w:rFonts w:asciiTheme="minorHAnsi" w:hAnsiTheme="minorHAnsi" w:cs="Arial"/>
          <w:lang w:val="mk-MK"/>
        </w:rPr>
      </w:pPr>
      <w:r w:rsidRPr="0069413C">
        <w:rPr>
          <w:rFonts w:asciiTheme="minorHAnsi" w:hAnsiTheme="minorHAnsi" w:cs="Arial"/>
        </w:rPr>
        <w:t>Вкупниот инсталиран капацитет на термоелектроцентрали е 1.010 MW, односно 50,22% од вкупниот инсталиран капацитет. Две термоелектроцентрали се во сопственост на АД ЕЛЕМ Скопје (ТЕ РЕК Битола и ТЕ Осломеј), а една термоелектроцентрала е во сопственост на АД ТЕЦ Неготино (ТЕ Неготино).</w:t>
      </w:r>
      <w:r w:rsidRPr="0069413C">
        <w:rPr>
          <w:rFonts w:asciiTheme="minorHAnsi" w:hAnsiTheme="minorHAnsi" w:cs="Arial"/>
          <w:lang w:val="mk-MK"/>
        </w:rPr>
        <w:t xml:space="preserve"> </w:t>
      </w:r>
    </w:p>
    <w:p w14:paraId="0C8E4204" w14:textId="77777777" w:rsidR="0073169A" w:rsidRPr="0069413C" w:rsidRDefault="0073169A" w:rsidP="0073169A">
      <w:pPr>
        <w:spacing w:after="0"/>
        <w:rPr>
          <w:rFonts w:asciiTheme="minorHAnsi" w:hAnsiTheme="minorHAnsi" w:cs="Arial"/>
          <w:i/>
          <w:u w:val="single"/>
          <w:lang w:val="mk-MK"/>
        </w:rPr>
      </w:pPr>
      <w:r w:rsidRPr="0069413C">
        <w:rPr>
          <w:rFonts w:asciiTheme="minorHAnsi" w:hAnsiTheme="minorHAnsi" w:cs="Arial"/>
          <w:i/>
          <w:u w:val="single"/>
          <w:lang w:val="mk-MK"/>
        </w:rPr>
        <w:t>Термоелектроцентрали во Република Македонија</w:t>
      </w:r>
    </w:p>
    <w:tbl>
      <w:tblPr>
        <w:tblStyle w:val="TableGrid"/>
        <w:tblW w:w="930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310"/>
        <w:gridCol w:w="2311"/>
        <w:gridCol w:w="3284"/>
        <w:gridCol w:w="1398"/>
      </w:tblGrid>
      <w:tr w:rsidR="0073169A" w:rsidRPr="0069413C" w14:paraId="002FF04A" w14:textId="77777777" w:rsidTr="00697F64">
        <w:tc>
          <w:tcPr>
            <w:tcW w:w="2310" w:type="dxa"/>
          </w:tcPr>
          <w:p w14:paraId="48873B9D"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b/>
                <w:bCs/>
                <w:sz w:val="22"/>
                <w:szCs w:val="22"/>
              </w:rPr>
              <w:t xml:space="preserve">Назив </w:t>
            </w:r>
          </w:p>
        </w:tc>
        <w:tc>
          <w:tcPr>
            <w:tcW w:w="2311" w:type="dxa"/>
          </w:tcPr>
          <w:p w14:paraId="0706DDAA"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b/>
                <w:bCs/>
                <w:sz w:val="22"/>
                <w:szCs w:val="22"/>
              </w:rPr>
              <w:t xml:space="preserve">Инсталирана моќност (MW) </w:t>
            </w:r>
          </w:p>
        </w:tc>
        <w:tc>
          <w:tcPr>
            <w:tcW w:w="3284" w:type="dxa"/>
          </w:tcPr>
          <w:p w14:paraId="2D727E41"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b/>
                <w:bCs/>
                <w:sz w:val="22"/>
                <w:szCs w:val="22"/>
              </w:rPr>
              <w:t xml:space="preserve">Проектирано годишно производство (GWh) </w:t>
            </w:r>
          </w:p>
        </w:tc>
        <w:tc>
          <w:tcPr>
            <w:tcW w:w="1398" w:type="dxa"/>
          </w:tcPr>
          <w:p w14:paraId="1C623FA2"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b/>
                <w:bCs/>
                <w:sz w:val="22"/>
                <w:szCs w:val="22"/>
              </w:rPr>
              <w:t xml:space="preserve">локација </w:t>
            </w:r>
          </w:p>
        </w:tc>
      </w:tr>
      <w:tr w:rsidR="0073169A" w:rsidRPr="0069413C" w14:paraId="352D161C" w14:textId="77777777" w:rsidTr="00697F64">
        <w:trPr>
          <w:trHeight w:val="112"/>
        </w:trPr>
        <w:tc>
          <w:tcPr>
            <w:tcW w:w="0" w:type="auto"/>
          </w:tcPr>
          <w:p w14:paraId="4A21F078"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ТЕ РЕК Битола </w:t>
            </w:r>
          </w:p>
        </w:tc>
        <w:tc>
          <w:tcPr>
            <w:tcW w:w="0" w:type="auto"/>
          </w:tcPr>
          <w:p w14:paraId="1312FE2B"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675 </w:t>
            </w:r>
          </w:p>
        </w:tc>
        <w:tc>
          <w:tcPr>
            <w:tcW w:w="3284" w:type="dxa"/>
          </w:tcPr>
          <w:p w14:paraId="5AAD7FED"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4.600 </w:t>
            </w:r>
          </w:p>
        </w:tc>
        <w:tc>
          <w:tcPr>
            <w:tcW w:w="1398" w:type="dxa"/>
          </w:tcPr>
          <w:p w14:paraId="4D118BCD"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Битола </w:t>
            </w:r>
          </w:p>
        </w:tc>
      </w:tr>
      <w:tr w:rsidR="0073169A" w:rsidRPr="0069413C" w14:paraId="5EBC7627" w14:textId="77777777" w:rsidTr="00697F64">
        <w:trPr>
          <w:trHeight w:val="112"/>
        </w:trPr>
        <w:tc>
          <w:tcPr>
            <w:tcW w:w="0" w:type="auto"/>
          </w:tcPr>
          <w:p w14:paraId="1DB5F376"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ТЕ Осломеј </w:t>
            </w:r>
          </w:p>
        </w:tc>
        <w:tc>
          <w:tcPr>
            <w:tcW w:w="0" w:type="auto"/>
          </w:tcPr>
          <w:p w14:paraId="6849ADB0"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125 </w:t>
            </w:r>
          </w:p>
        </w:tc>
        <w:tc>
          <w:tcPr>
            <w:tcW w:w="3284" w:type="dxa"/>
          </w:tcPr>
          <w:p w14:paraId="6D991F23"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700 </w:t>
            </w:r>
          </w:p>
        </w:tc>
        <w:tc>
          <w:tcPr>
            <w:tcW w:w="1398" w:type="dxa"/>
          </w:tcPr>
          <w:p w14:paraId="264C78A1"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Кичево </w:t>
            </w:r>
          </w:p>
        </w:tc>
      </w:tr>
      <w:tr w:rsidR="0073169A" w:rsidRPr="0069413C" w14:paraId="6E9141D6" w14:textId="77777777" w:rsidTr="00697F64">
        <w:trPr>
          <w:trHeight w:val="112"/>
        </w:trPr>
        <w:tc>
          <w:tcPr>
            <w:tcW w:w="0" w:type="auto"/>
          </w:tcPr>
          <w:p w14:paraId="7F0DA2CF"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ТЕ Неготино </w:t>
            </w:r>
          </w:p>
        </w:tc>
        <w:tc>
          <w:tcPr>
            <w:tcW w:w="0" w:type="auto"/>
          </w:tcPr>
          <w:p w14:paraId="492BEDF0"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210 </w:t>
            </w:r>
          </w:p>
        </w:tc>
        <w:tc>
          <w:tcPr>
            <w:tcW w:w="3284" w:type="dxa"/>
          </w:tcPr>
          <w:p w14:paraId="3553EB14"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резерва </w:t>
            </w:r>
          </w:p>
        </w:tc>
        <w:tc>
          <w:tcPr>
            <w:tcW w:w="1398" w:type="dxa"/>
          </w:tcPr>
          <w:p w14:paraId="6F6E1E67"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Дуброво </w:t>
            </w:r>
          </w:p>
        </w:tc>
      </w:tr>
      <w:tr w:rsidR="0073169A" w:rsidRPr="0069413C" w14:paraId="66532579" w14:textId="77777777" w:rsidTr="00697F64">
        <w:trPr>
          <w:trHeight w:val="112"/>
        </w:trPr>
        <w:tc>
          <w:tcPr>
            <w:tcW w:w="0" w:type="auto"/>
          </w:tcPr>
          <w:p w14:paraId="5597A8A6" w14:textId="77777777" w:rsidR="0073169A" w:rsidRPr="0069413C" w:rsidRDefault="0073169A" w:rsidP="00697F64">
            <w:pPr>
              <w:rPr>
                <w:rFonts w:asciiTheme="minorHAnsi" w:hAnsiTheme="minorHAnsi" w:cs="Arial"/>
                <w:b/>
              </w:rPr>
            </w:pPr>
            <w:r w:rsidRPr="0069413C">
              <w:rPr>
                <w:rFonts w:asciiTheme="minorHAnsi" w:hAnsiTheme="minorHAnsi" w:cs="Arial"/>
                <w:b/>
              </w:rPr>
              <w:t xml:space="preserve">Вкупно </w:t>
            </w:r>
          </w:p>
        </w:tc>
        <w:tc>
          <w:tcPr>
            <w:tcW w:w="0" w:type="auto"/>
          </w:tcPr>
          <w:p w14:paraId="362DD686" w14:textId="77777777" w:rsidR="0073169A" w:rsidRPr="0069413C" w:rsidRDefault="0073169A" w:rsidP="00697F64">
            <w:pPr>
              <w:rPr>
                <w:rFonts w:asciiTheme="minorHAnsi" w:hAnsiTheme="minorHAnsi" w:cs="Arial"/>
                <w:b/>
              </w:rPr>
            </w:pPr>
            <w:r w:rsidRPr="0069413C">
              <w:rPr>
                <w:rFonts w:asciiTheme="minorHAnsi" w:hAnsiTheme="minorHAnsi" w:cs="Arial"/>
                <w:b/>
              </w:rPr>
              <w:t xml:space="preserve">1.010 </w:t>
            </w:r>
          </w:p>
        </w:tc>
        <w:tc>
          <w:tcPr>
            <w:tcW w:w="3284" w:type="dxa"/>
          </w:tcPr>
          <w:p w14:paraId="178BB3F0" w14:textId="77777777" w:rsidR="0073169A" w:rsidRPr="0069413C" w:rsidRDefault="0073169A" w:rsidP="00697F64">
            <w:pPr>
              <w:rPr>
                <w:rFonts w:asciiTheme="minorHAnsi" w:hAnsiTheme="minorHAnsi" w:cs="Arial"/>
                <w:b/>
              </w:rPr>
            </w:pPr>
            <w:r w:rsidRPr="0069413C">
              <w:rPr>
                <w:rFonts w:asciiTheme="minorHAnsi" w:hAnsiTheme="minorHAnsi" w:cs="Arial"/>
                <w:b/>
              </w:rPr>
              <w:t xml:space="preserve">5.300 </w:t>
            </w:r>
          </w:p>
        </w:tc>
        <w:tc>
          <w:tcPr>
            <w:tcW w:w="1398" w:type="dxa"/>
          </w:tcPr>
          <w:p w14:paraId="6582CF2F" w14:textId="77777777" w:rsidR="0073169A" w:rsidRPr="0069413C" w:rsidRDefault="0073169A" w:rsidP="00697F64">
            <w:pPr>
              <w:pStyle w:val="Default"/>
              <w:rPr>
                <w:rFonts w:asciiTheme="minorHAnsi" w:hAnsiTheme="minorHAnsi"/>
                <w:b/>
                <w:sz w:val="22"/>
                <w:szCs w:val="22"/>
              </w:rPr>
            </w:pPr>
          </w:p>
        </w:tc>
      </w:tr>
    </w:tbl>
    <w:p w14:paraId="1ED18646" w14:textId="77777777" w:rsidR="0073169A" w:rsidRPr="0069413C" w:rsidRDefault="0073169A" w:rsidP="0073169A">
      <w:pPr>
        <w:ind w:firstLine="360"/>
        <w:rPr>
          <w:rFonts w:asciiTheme="minorHAnsi" w:hAnsiTheme="minorHAnsi" w:cs="Arial"/>
          <w:lang w:val="mk-MK"/>
        </w:rPr>
      </w:pPr>
    </w:p>
    <w:p w14:paraId="6718F3CF" w14:textId="77777777" w:rsidR="0073169A" w:rsidRPr="0069413C" w:rsidRDefault="0073169A" w:rsidP="0073169A">
      <w:pPr>
        <w:rPr>
          <w:rFonts w:asciiTheme="minorHAnsi" w:hAnsiTheme="minorHAnsi" w:cs="Arial"/>
          <w:lang w:val="mk-MK"/>
        </w:rPr>
      </w:pPr>
      <w:r w:rsidRPr="0069413C">
        <w:rPr>
          <w:rFonts w:asciiTheme="minorHAnsi" w:hAnsiTheme="minorHAnsi" w:cs="Arial"/>
          <w:lang w:val="mk-MK"/>
        </w:rPr>
        <w:t>Вкупниот инсталиран капацитет на големи хидроелектроцентрали со инсталирана моќност поголема од 10 MW изнесува 603,2 MW, односно 29,99% од вкупниот инсталиран капацитет во Република Македонија, од кои:</w:t>
      </w:r>
    </w:p>
    <w:p w14:paraId="434E37DF" w14:textId="77777777" w:rsidR="0073169A" w:rsidRPr="0069413C" w:rsidRDefault="0073169A" w:rsidP="0073169A">
      <w:pPr>
        <w:pStyle w:val="ListParagraph"/>
        <w:numPr>
          <w:ilvl w:val="0"/>
          <w:numId w:val="24"/>
        </w:numPr>
        <w:spacing w:after="200" w:line="276" w:lineRule="auto"/>
        <w:jc w:val="both"/>
        <w:rPr>
          <w:rFonts w:asciiTheme="minorHAnsi" w:hAnsiTheme="minorHAnsi" w:cs="Arial"/>
          <w:lang w:val="mk-MK"/>
        </w:rPr>
      </w:pPr>
      <w:r w:rsidRPr="0069413C">
        <w:rPr>
          <w:rFonts w:asciiTheme="minorHAnsi" w:hAnsiTheme="minorHAnsi" w:cs="Arial"/>
          <w:lang w:val="mk-MK"/>
        </w:rPr>
        <w:t>осум хидроелектроцентрали со вкупна инсталирана моќност од 571,4 MW се во сопственост на АД ЕЛЕМ Скопје.</w:t>
      </w:r>
    </w:p>
    <w:p w14:paraId="2AC24087" w14:textId="77777777" w:rsidR="0073169A" w:rsidRPr="0069413C" w:rsidRDefault="0073169A" w:rsidP="0073169A">
      <w:pPr>
        <w:pStyle w:val="ListParagraph"/>
        <w:numPr>
          <w:ilvl w:val="0"/>
          <w:numId w:val="24"/>
        </w:numPr>
        <w:spacing w:after="200" w:line="276" w:lineRule="auto"/>
        <w:jc w:val="both"/>
        <w:rPr>
          <w:rFonts w:asciiTheme="minorHAnsi" w:hAnsiTheme="minorHAnsi" w:cs="Arial"/>
          <w:lang w:val="mk-MK"/>
        </w:rPr>
      </w:pPr>
      <w:r w:rsidRPr="0069413C">
        <w:rPr>
          <w:rFonts w:asciiTheme="minorHAnsi" w:hAnsiTheme="minorHAnsi" w:cs="Arial"/>
          <w:lang w:val="mk-MK"/>
        </w:rPr>
        <w:t>две хидроелектроцентрали ХЕ Калиманци и ХЕ Матка со вкупна инсталирана моќност од 23,8 MW се сопственост на ЕВН Македонија АД Скопје.</w:t>
      </w:r>
    </w:p>
    <w:p w14:paraId="79323EB3" w14:textId="77777777" w:rsidR="0073169A" w:rsidRPr="0069413C" w:rsidRDefault="0073169A" w:rsidP="0073169A">
      <w:pPr>
        <w:rPr>
          <w:rFonts w:asciiTheme="minorHAnsi" w:hAnsiTheme="minorHAnsi" w:cs="Arial"/>
          <w:lang w:val="mk-MK"/>
        </w:rPr>
      </w:pPr>
    </w:p>
    <w:p w14:paraId="179C5A0F" w14:textId="77777777" w:rsidR="0073169A" w:rsidRPr="0069413C" w:rsidRDefault="0073169A" w:rsidP="0073169A">
      <w:pPr>
        <w:rPr>
          <w:rFonts w:asciiTheme="minorHAnsi" w:hAnsiTheme="minorHAnsi" w:cs="Arial"/>
          <w:lang w:val="mk-MK"/>
        </w:rPr>
      </w:pPr>
    </w:p>
    <w:p w14:paraId="64379CD5" w14:textId="77777777" w:rsidR="0073169A" w:rsidRPr="0069413C" w:rsidRDefault="0073169A" w:rsidP="0073169A">
      <w:pPr>
        <w:spacing w:after="0"/>
        <w:rPr>
          <w:rFonts w:asciiTheme="minorHAnsi" w:hAnsiTheme="minorHAnsi" w:cs="Arial"/>
          <w:i/>
          <w:u w:val="single"/>
          <w:lang w:val="mk-MK"/>
        </w:rPr>
      </w:pPr>
      <w:r w:rsidRPr="0069413C">
        <w:rPr>
          <w:rFonts w:asciiTheme="minorHAnsi" w:hAnsiTheme="minorHAnsi" w:cs="Arial"/>
          <w:i/>
          <w:u w:val="single"/>
          <w:lang w:val="mk-MK"/>
        </w:rPr>
        <w:t>Хидроелектроцентрали во Република Македонија</w:t>
      </w:r>
    </w:p>
    <w:tbl>
      <w:tblPr>
        <w:tblStyle w:val="TableGrid"/>
        <w:tblW w:w="9483" w:type="dxa"/>
        <w:tblLook w:val="04A0" w:firstRow="1" w:lastRow="0" w:firstColumn="1" w:lastColumn="0" w:noHBand="0" w:noVBand="1"/>
      </w:tblPr>
      <w:tblGrid>
        <w:gridCol w:w="2294"/>
        <w:gridCol w:w="1925"/>
        <w:gridCol w:w="2971"/>
        <w:gridCol w:w="2293"/>
      </w:tblGrid>
      <w:tr w:rsidR="0073169A" w:rsidRPr="0069413C" w14:paraId="3CEF7698" w14:textId="77777777" w:rsidTr="00697F64">
        <w:tc>
          <w:tcPr>
            <w:tcW w:w="2294" w:type="dxa"/>
          </w:tcPr>
          <w:p w14:paraId="448877BD" w14:textId="77777777" w:rsidR="0073169A" w:rsidRPr="0069413C" w:rsidRDefault="0073169A" w:rsidP="0073169A">
            <w:pPr>
              <w:pStyle w:val="Default"/>
              <w:spacing w:after="60"/>
              <w:jc w:val="center"/>
              <w:rPr>
                <w:rFonts w:asciiTheme="minorHAnsi" w:hAnsiTheme="minorHAnsi"/>
                <w:sz w:val="22"/>
                <w:szCs w:val="22"/>
              </w:rPr>
            </w:pPr>
            <w:r w:rsidRPr="0069413C">
              <w:rPr>
                <w:rFonts w:asciiTheme="minorHAnsi" w:hAnsiTheme="minorHAnsi"/>
                <w:b/>
                <w:bCs/>
                <w:sz w:val="22"/>
                <w:szCs w:val="22"/>
              </w:rPr>
              <w:t>Назив</w:t>
            </w:r>
          </w:p>
        </w:tc>
        <w:tc>
          <w:tcPr>
            <w:tcW w:w="1925" w:type="dxa"/>
          </w:tcPr>
          <w:p w14:paraId="426657C4" w14:textId="77777777" w:rsidR="0073169A" w:rsidRPr="0069413C" w:rsidRDefault="0073169A" w:rsidP="0073169A">
            <w:pPr>
              <w:pStyle w:val="Default"/>
              <w:spacing w:after="60"/>
              <w:jc w:val="center"/>
              <w:rPr>
                <w:rFonts w:asciiTheme="minorHAnsi" w:hAnsiTheme="minorHAnsi"/>
                <w:sz w:val="22"/>
                <w:szCs w:val="22"/>
              </w:rPr>
            </w:pPr>
            <w:r w:rsidRPr="0069413C">
              <w:rPr>
                <w:rFonts w:asciiTheme="minorHAnsi" w:hAnsiTheme="minorHAnsi"/>
                <w:b/>
                <w:bCs/>
                <w:sz w:val="22"/>
                <w:szCs w:val="22"/>
              </w:rPr>
              <w:t>Инсталирана моќност (MW)</w:t>
            </w:r>
          </w:p>
        </w:tc>
        <w:tc>
          <w:tcPr>
            <w:tcW w:w="2971" w:type="dxa"/>
          </w:tcPr>
          <w:p w14:paraId="6B41C654" w14:textId="77777777" w:rsidR="0073169A" w:rsidRPr="0069413C" w:rsidRDefault="0073169A" w:rsidP="0073169A">
            <w:pPr>
              <w:pStyle w:val="Default"/>
              <w:spacing w:after="60"/>
              <w:jc w:val="center"/>
              <w:rPr>
                <w:rFonts w:asciiTheme="minorHAnsi" w:hAnsiTheme="minorHAnsi"/>
                <w:sz w:val="22"/>
                <w:szCs w:val="22"/>
              </w:rPr>
            </w:pPr>
            <w:r w:rsidRPr="0069413C">
              <w:rPr>
                <w:rFonts w:asciiTheme="minorHAnsi" w:hAnsiTheme="minorHAnsi"/>
                <w:b/>
                <w:bCs/>
                <w:sz w:val="22"/>
                <w:szCs w:val="22"/>
              </w:rPr>
              <w:t>Проектирано годишно производство (GWh)</w:t>
            </w:r>
          </w:p>
        </w:tc>
        <w:tc>
          <w:tcPr>
            <w:tcW w:w="2293" w:type="dxa"/>
          </w:tcPr>
          <w:p w14:paraId="55627355" w14:textId="77777777" w:rsidR="0073169A" w:rsidRPr="0069413C" w:rsidRDefault="0073169A" w:rsidP="0073169A">
            <w:pPr>
              <w:pStyle w:val="Default"/>
              <w:spacing w:after="60"/>
              <w:jc w:val="center"/>
              <w:rPr>
                <w:rFonts w:asciiTheme="minorHAnsi" w:hAnsiTheme="minorHAnsi"/>
                <w:sz w:val="22"/>
                <w:szCs w:val="22"/>
              </w:rPr>
            </w:pPr>
            <w:r w:rsidRPr="0069413C">
              <w:rPr>
                <w:rFonts w:asciiTheme="minorHAnsi" w:hAnsiTheme="minorHAnsi"/>
                <w:b/>
                <w:bCs/>
                <w:sz w:val="22"/>
                <w:szCs w:val="22"/>
              </w:rPr>
              <w:t>Локација</w:t>
            </w:r>
          </w:p>
        </w:tc>
      </w:tr>
      <w:tr w:rsidR="0073169A" w:rsidRPr="0069413C" w14:paraId="5F779D49" w14:textId="77777777" w:rsidTr="00697F64">
        <w:tc>
          <w:tcPr>
            <w:tcW w:w="2294" w:type="dxa"/>
          </w:tcPr>
          <w:p w14:paraId="49A58294"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Козјак </w:t>
            </w:r>
          </w:p>
        </w:tc>
        <w:tc>
          <w:tcPr>
            <w:tcW w:w="1925" w:type="dxa"/>
            <w:vAlign w:val="center"/>
          </w:tcPr>
          <w:p w14:paraId="6D8F4E0A"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88 </w:t>
            </w:r>
          </w:p>
        </w:tc>
        <w:tc>
          <w:tcPr>
            <w:tcW w:w="2971" w:type="dxa"/>
            <w:vAlign w:val="center"/>
          </w:tcPr>
          <w:p w14:paraId="2DB1D384"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150 </w:t>
            </w:r>
          </w:p>
        </w:tc>
        <w:tc>
          <w:tcPr>
            <w:tcW w:w="2293" w:type="dxa"/>
            <w:vAlign w:val="center"/>
          </w:tcPr>
          <w:p w14:paraId="1A0C286D"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Треска</w:t>
            </w:r>
          </w:p>
        </w:tc>
      </w:tr>
      <w:tr w:rsidR="0073169A" w:rsidRPr="0069413C" w14:paraId="149DD159" w14:textId="77777777" w:rsidTr="00697F64">
        <w:tc>
          <w:tcPr>
            <w:tcW w:w="2294" w:type="dxa"/>
          </w:tcPr>
          <w:p w14:paraId="0AD9E27F"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Глобочица </w:t>
            </w:r>
          </w:p>
        </w:tc>
        <w:tc>
          <w:tcPr>
            <w:tcW w:w="1925" w:type="dxa"/>
            <w:vAlign w:val="center"/>
          </w:tcPr>
          <w:p w14:paraId="63D2E7F8"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42 </w:t>
            </w:r>
          </w:p>
        </w:tc>
        <w:tc>
          <w:tcPr>
            <w:tcW w:w="2971" w:type="dxa"/>
            <w:vAlign w:val="center"/>
          </w:tcPr>
          <w:p w14:paraId="2D19FA06"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191 </w:t>
            </w:r>
          </w:p>
        </w:tc>
        <w:tc>
          <w:tcPr>
            <w:tcW w:w="2293" w:type="dxa"/>
            <w:vAlign w:val="center"/>
          </w:tcPr>
          <w:p w14:paraId="5899855B"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Црн Дрим, Струга</w:t>
            </w:r>
          </w:p>
        </w:tc>
      </w:tr>
      <w:tr w:rsidR="0073169A" w:rsidRPr="0069413C" w14:paraId="31624060" w14:textId="77777777" w:rsidTr="00697F64">
        <w:tc>
          <w:tcPr>
            <w:tcW w:w="2294" w:type="dxa"/>
          </w:tcPr>
          <w:p w14:paraId="0574FC48"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Шпиље </w:t>
            </w:r>
          </w:p>
        </w:tc>
        <w:tc>
          <w:tcPr>
            <w:tcW w:w="1925" w:type="dxa"/>
            <w:vAlign w:val="center"/>
          </w:tcPr>
          <w:p w14:paraId="73FF0B6D"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84 </w:t>
            </w:r>
          </w:p>
        </w:tc>
        <w:tc>
          <w:tcPr>
            <w:tcW w:w="2971" w:type="dxa"/>
            <w:vAlign w:val="center"/>
          </w:tcPr>
          <w:p w14:paraId="1A665A6C"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300 </w:t>
            </w:r>
          </w:p>
        </w:tc>
        <w:tc>
          <w:tcPr>
            <w:tcW w:w="2293" w:type="dxa"/>
            <w:vAlign w:val="center"/>
          </w:tcPr>
          <w:p w14:paraId="63A7A498"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Црн Дрим, Дебар</w:t>
            </w:r>
          </w:p>
        </w:tc>
      </w:tr>
      <w:tr w:rsidR="0073169A" w:rsidRPr="0069413C" w14:paraId="47C18EC4" w14:textId="77777777" w:rsidTr="00697F64">
        <w:tc>
          <w:tcPr>
            <w:tcW w:w="2294" w:type="dxa"/>
            <w:vAlign w:val="center"/>
          </w:tcPr>
          <w:p w14:paraId="214C5E98"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Тиквеш </w:t>
            </w:r>
          </w:p>
        </w:tc>
        <w:tc>
          <w:tcPr>
            <w:tcW w:w="1925" w:type="dxa"/>
            <w:vAlign w:val="center"/>
          </w:tcPr>
          <w:p w14:paraId="09D5BE25"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116 </w:t>
            </w:r>
          </w:p>
        </w:tc>
        <w:tc>
          <w:tcPr>
            <w:tcW w:w="2971" w:type="dxa"/>
            <w:vAlign w:val="center"/>
          </w:tcPr>
          <w:p w14:paraId="67EC4B82"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184 </w:t>
            </w:r>
          </w:p>
        </w:tc>
        <w:tc>
          <w:tcPr>
            <w:tcW w:w="2293" w:type="dxa"/>
            <w:vAlign w:val="center"/>
          </w:tcPr>
          <w:p w14:paraId="6F19B1A9"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Црна Река, Кавадарци</w:t>
            </w:r>
          </w:p>
        </w:tc>
      </w:tr>
      <w:tr w:rsidR="0073169A" w:rsidRPr="0069413C" w14:paraId="361AA249" w14:textId="77777777" w:rsidTr="00697F64">
        <w:tc>
          <w:tcPr>
            <w:tcW w:w="2294" w:type="dxa"/>
          </w:tcPr>
          <w:p w14:paraId="678EBE1B"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Вруток </w:t>
            </w:r>
          </w:p>
        </w:tc>
        <w:tc>
          <w:tcPr>
            <w:tcW w:w="1925" w:type="dxa"/>
            <w:vMerge w:val="restart"/>
            <w:vAlign w:val="center"/>
          </w:tcPr>
          <w:p w14:paraId="6A2007E5"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213 </w:t>
            </w:r>
          </w:p>
        </w:tc>
        <w:tc>
          <w:tcPr>
            <w:tcW w:w="2971" w:type="dxa"/>
            <w:vMerge w:val="restart"/>
            <w:vAlign w:val="center"/>
          </w:tcPr>
          <w:p w14:paraId="69DBC038"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217 </w:t>
            </w:r>
          </w:p>
        </w:tc>
        <w:tc>
          <w:tcPr>
            <w:tcW w:w="2293" w:type="dxa"/>
            <w:vMerge w:val="restart"/>
            <w:vAlign w:val="center"/>
          </w:tcPr>
          <w:p w14:paraId="2E6A10FE"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Маврово</w:t>
            </w:r>
          </w:p>
        </w:tc>
      </w:tr>
      <w:tr w:rsidR="0073169A" w:rsidRPr="0069413C" w14:paraId="027C316D" w14:textId="77777777" w:rsidTr="00697F64">
        <w:tc>
          <w:tcPr>
            <w:tcW w:w="2294" w:type="dxa"/>
          </w:tcPr>
          <w:p w14:paraId="36D0A555"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Врбен </w:t>
            </w:r>
          </w:p>
        </w:tc>
        <w:tc>
          <w:tcPr>
            <w:tcW w:w="1925" w:type="dxa"/>
            <w:vMerge/>
            <w:vAlign w:val="center"/>
          </w:tcPr>
          <w:p w14:paraId="7D638D69" w14:textId="77777777" w:rsidR="0073169A" w:rsidRPr="0069413C" w:rsidRDefault="0073169A" w:rsidP="0073169A">
            <w:pPr>
              <w:spacing w:after="60" w:line="240" w:lineRule="auto"/>
              <w:jc w:val="right"/>
              <w:rPr>
                <w:rFonts w:asciiTheme="minorHAnsi" w:hAnsiTheme="minorHAnsi" w:cs="Arial"/>
                <w:lang w:val="mk-MK"/>
              </w:rPr>
            </w:pPr>
          </w:p>
        </w:tc>
        <w:tc>
          <w:tcPr>
            <w:tcW w:w="2971" w:type="dxa"/>
            <w:vMerge/>
            <w:vAlign w:val="center"/>
          </w:tcPr>
          <w:p w14:paraId="6F34E5AF" w14:textId="77777777" w:rsidR="0073169A" w:rsidRPr="0069413C" w:rsidRDefault="0073169A" w:rsidP="0073169A">
            <w:pPr>
              <w:spacing w:after="60" w:line="240" w:lineRule="auto"/>
              <w:jc w:val="right"/>
              <w:rPr>
                <w:rFonts w:asciiTheme="minorHAnsi" w:hAnsiTheme="minorHAnsi" w:cs="Arial"/>
                <w:lang w:val="mk-MK"/>
              </w:rPr>
            </w:pPr>
          </w:p>
        </w:tc>
        <w:tc>
          <w:tcPr>
            <w:tcW w:w="2293" w:type="dxa"/>
            <w:vMerge/>
            <w:vAlign w:val="center"/>
          </w:tcPr>
          <w:p w14:paraId="5B5C642E" w14:textId="77777777" w:rsidR="0073169A" w:rsidRPr="0069413C" w:rsidRDefault="0073169A" w:rsidP="0073169A">
            <w:pPr>
              <w:spacing w:after="60" w:line="240" w:lineRule="auto"/>
              <w:jc w:val="center"/>
              <w:rPr>
                <w:rFonts w:asciiTheme="minorHAnsi" w:hAnsiTheme="minorHAnsi" w:cs="Arial"/>
                <w:lang w:val="mk-MK"/>
              </w:rPr>
            </w:pPr>
          </w:p>
        </w:tc>
      </w:tr>
      <w:tr w:rsidR="0073169A" w:rsidRPr="0069413C" w14:paraId="73B6374B" w14:textId="77777777" w:rsidTr="00697F64">
        <w:tc>
          <w:tcPr>
            <w:tcW w:w="2294" w:type="dxa"/>
          </w:tcPr>
          <w:p w14:paraId="7180C79C"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Равен </w:t>
            </w:r>
          </w:p>
        </w:tc>
        <w:tc>
          <w:tcPr>
            <w:tcW w:w="1925" w:type="dxa"/>
            <w:vMerge/>
            <w:vAlign w:val="center"/>
          </w:tcPr>
          <w:p w14:paraId="7476A189" w14:textId="77777777" w:rsidR="0073169A" w:rsidRPr="0069413C" w:rsidRDefault="0073169A" w:rsidP="0073169A">
            <w:pPr>
              <w:spacing w:after="60" w:line="240" w:lineRule="auto"/>
              <w:jc w:val="right"/>
              <w:rPr>
                <w:rFonts w:asciiTheme="minorHAnsi" w:hAnsiTheme="minorHAnsi" w:cs="Arial"/>
                <w:lang w:val="mk-MK"/>
              </w:rPr>
            </w:pPr>
          </w:p>
        </w:tc>
        <w:tc>
          <w:tcPr>
            <w:tcW w:w="2971" w:type="dxa"/>
            <w:vMerge/>
            <w:vAlign w:val="center"/>
          </w:tcPr>
          <w:p w14:paraId="061FEAE7" w14:textId="77777777" w:rsidR="0073169A" w:rsidRPr="0069413C" w:rsidRDefault="0073169A" w:rsidP="0073169A">
            <w:pPr>
              <w:spacing w:after="60" w:line="240" w:lineRule="auto"/>
              <w:jc w:val="right"/>
              <w:rPr>
                <w:rFonts w:asciiTheme="minorHAnsi" w:hAnsiTheme="minorHAnsi" w:cs="Arial"/>
                <w:lang w:val="mk-MK"/>
              </w:rPr>
            </w:pPr>
          </w:p>
        </w:tc>
        <w:tc>
          <w:tcPr>
            <w:tcW w:w="2293" w:type="dxa"/>
            <w:vMerge/>
            <w:vAlign w:val="center"/>
          </w:tcPr>
          <w:p w14:paraId="11834336" w14:textId="77777777" w:rsidR="0073169A" w:rsidRPr="0069413C" w:rsidRDefault="0073169A" w:rsidP="0073169A">
            <w:pPr>
              <w:spacing w:after="60" w:line="240" w:lineRule="auto"/>
              <w:jc w:val="center"/>
              <w:rPr>
                <w:rFonts w:asciiTheme="minorHAnsi" w:hAnsiTheme="minorHAnsi" w:cs="Arial"/>
                <w:lang w:val="mk-MK"/>
              </w:rPr>
            </w:pPr>
          </w:p>
        </w:tc>
      </w:tr>
      <w:tr w:rsidR="0073169A" w:rsidRPr="0069413C" w14:paraId="0EAB6BF4" w14:textId="77777777" w:rsidTr="00697F64">
        <w:tc>
          <w:tcPr>
            <w:tcW w:w="2294" w:type="dxa"/>
          </w:tcPr>
          <w:p w14:paraId="30743FCB"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Св. Петка </w:t>
            </w:r>
          </w:p>
        </w:tc>
        <w:tc>
          <w:tcPr>
            <w:tcW w:w="1925" w:type="dxa"/>
            <w:vAlign w:val="center"/>
          </w:tcPr>
          <w:p w14:paraId="76C018D9"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36,4 </w:t>
            </w:r>
          </w:p>
        </w:tc>
        <w:tc>
          <w:tcPr>
            <w:tcW w:w="2971" w:type="dxa"/>
            <w:vAlign w:val="center"/>
          </w:tcPr>
          <w:p w14:paraId="42862F53"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66 </w:t>
            </w:r>
          </w:p>
        </w:tc>
        <w:tc>
          <w:tcPr>
            <w:tcW w:w="2293" w:type="dxa"/>
            <w:vAlign w:val="center"/>
          </w:tcPr>
          <w:p w14:paraId="30D24B9C"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Треска</w:t>
            </w:r>
          </w:p>
        </w:tc>
      </w:tr>
      <w:tr w:rsidR="0073169A" w:rsidRPr="0069413C" w14:paraId="09145938" w14:textId="77777777" w:rsidTr="00697F64">
        <w:tc>
          <w:tcPr>
            <w:tcW w:w="2294" w:type="dxa"/>
          </w:tcPr>
          <w:p w14:paraId="61591FAB"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Калиманци </w:t>
            </w:r>
          </w:p>
        </w:tc>
        <w:tc>
          <w:tcPr>
            <w:tcW w:w="1925" w:type="dxa"/>
            <w:vAlign w:val="center"/>
          </w:tcPr>
          <w:p w14:paraId="3320CD85"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13,8 </w:t>
            </w:r>
          </w:p>
        </w:tc>
        <w:tc>
          <w:tcPr>
            <w:tcW w:w="2971" w:type="dxa"/>
            <w:vAlign w:val="center"/>
          </w:tcPr>
          <w:p w14:paraId="0C793E76"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17 </w:t>
            </w:r>
          </w:p>
        </w:tc>
        <w:tc>
          <w:tcPr>
            <w:tcW w:w="2293" w:type="dxa"/>
            <w:vAlign w:val="center"/>
          </w:tcPr>
          <w:p w14:paraId="225DF1DC"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Брегалница</w:t>
            </w:r>
          </w:p>
        </w:tc>
      </w:tr>
      <w:tr w:rsidR="0073169A" w:rsidRPr="0069413C" w14:paraId="270FF659" w14:textId="77777777" w:rsidTr="00697F64">
        <w:tc>
          <w:tcPr>
            <w:tcW w:w="2294" w:type="dxa"/>
          </w:tcPr>
          <w:p w14:paraId="6CAF7A14"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ХЕ Матка </w:t>
            </w:r>
          </w:p>
        </w:tc>
        <w:tc>
          <w:tcPr>
            <w:tcW w:w="1925" w:type="dxa"/>
            <w:vAlign w:val="center"/>
          </w:tcPr>
          <w:p w14:paraId="22EB4F13"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10 </w:t>
            </w:r>
          </w:p>
        </w:tc>
        <w:tc>
          <w:tcPr>
            <w:tcW w:w="2971" w:type="dxa"/>
            <w:vAlign w:val="center"/>
          </w:tcPr>
          <w:p w14:paraId="38453E7B"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40 </w:t>
            </w:r>
          </w:p>
        </w:tc>
        <w:tc>
          <w:tcPr>
            <w:tcW w:w="2293" w:type="dxa"/>
            <w:vAlign w:val="center"/>
          </w:tcPr>
          <w:p w14:paraId="537ABF76" w14:textId="77777777" w:rsidR="0073169A" w:rsidRPr="0069413C" w:rsidRDefault="0073169A" w:rsidP="0073169A">
            <w:pPr>
              <w:spacing w:after="60" w:line="240" w:lineRule="auto"/>
              <w:jc w:val="center"/>
              <w:rPr>
                <w:rFonts w:asciiTheme="minorHAnsi" w:hAnsiTheme="minorHAnsi" w:cs="Arial"/>
              </w:rPr>
            </w:pPr>
            <w:r w:rsidRPr="0069413C">
              <w:rPr>
                <w:rFonts w:asciiTheme="minorHAnsi" w:hAnsiTheme="minorHAnsi" w:cs="Arial"/>
              </w:rPr>
              <w:t>р. Треска</w:t>
            </w:r>
          </w:p>
        </w:tc>
      </w:tr>
      <w:tr w:rsidR="0073169A" w:rsidRPr="0069413C" w14:paraId="0AF1344A" w14:textId="77777777" w:rsidTr="00697F64">
        <w:tc>
          <w:tcPr>
            <w:tcW w:w="2294" w:type="dxa"/>
          </w:tcPr>
          <w:p w14:paraId="2A6A7E10" w14:textId="77777777" w:rsidR="0073169A" w:rsidRPr="0069413C" w:rsidRDefault="0073169A" w:rsidP="0073169A">
            <w:pPr>
              <w:spacing w:after="60" w:line="240" w:lineRule="auto"/>
              <w:rPr>
                <w:rFonts w:asciiTheme="minorHAnsi" w:hAnsiTheme="minorHAnsi" w:cs="Arial"/>
              </w:rPr>
            </w:pPr>
            <w:r w:rsidRPr="0069413C">
              <w:rPr>
                <w:rFonts w:asciiTheme="minorHAnsi" w:hAnsiTheme="minorHAnsi" w:cs="Arial"/>
              </w:rPr>
              <w:t xml:space="preserve">Вкупно </w:t>
            </w:r>
          </w:p>
        </w:tc>
        <w:tc>
          <w:tcPr>
            <w:tcW w:w="1925" w:type="dxa"/>
            <w:vAlign w:val="center"/>
          </w:tcPr>
          <w:p w14:paraId="5272FB76"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603,2 </w:t>
            </w:r>
          </w:p>
        </w:tc>
        <w:tc>
          <w:tcPr>
            <w:tcW w:w="2971" w:type="dxa"/>
            <w:vAlign w:val="center"/>
          </w:tcPr>
          <w:p w14:paraId="2025BAEE" w14:textId="77777777" w:rsidR="0073169A" w:rsidRPr="0069413C" w:rsidRDefault="0073169A" w:rsidP="0073169A">
            <w:pPr>
              <w:spacing w:after="60" w:line="240" w:lineRule="auto"/>
              <w:jc w:val="right"/>
              <w:rPr>
                <w:rFonts w:asciiTheme="minorHAnsi" w:hAnsiTheme="minorHAnsi" w:cs="Arial"/>
              </w:rPr>
            </w:pPr>
            <w:r w:rsidRPr="0069413C">
              <w:rPr>
                <w:rFonts w:asciiTheme="minorHAnsi" w:hAnsiTheme="minorHAnsi" w:cs="Arial"/>
              </w:rPr>
              <w:t xml:space="preserve">1.165 </w:t>
            </w:r>
          </w:p>
        </w:tc>
        <w:tc>
          <w:tcPr>
            <w:tcW w:w="2293" w:type="dxa"/>
            <w:vAlign w:val="center"/>
          </w:tcPr>
          <w:p w14:paraId="628106DD" w14:textId="77777777" w:rsidR="0073169A" w:rsidRPr="0069413C" w:rsidRDefault="0073169A" w:rsidP="0073169A">
            <w:pPr>
              <w:spacing w:after="60" w:line="240" w:lineRule="auto"/>
              <w:jc w:val="center"/>
              <w:rPr>
                <w:rFonts w:asciiTheme="minorHAnsi" w:hAnsiTheme="minorHAnsi" w:cs="Arial"/>
                <w:lang w:val="mk-MK"/>
              </w:rPr>
            </w:pPr>
          </w:p>
        </w:tc>
      </w:tr>
    </w:tbl>
    <w:p w14:paraId="626FB2DA" w14:textId="77777777" w:rsidR="0073169A" w:rsidRPr="0069413C" w:rsidRDefault="0073169A" w:rsidP="0073169A">
      <w:pPr>
        <w:ind w:firstLine="720"/>
        <w:rPr>
          <w:rFonts w:asciiTheme="minorHAnsi" w:hAnsiTheme="minorHAnsi" w:cs="Arial"/>
          <w:lang w:val="mk-MK"/>
        </w:rPr>
      </w:pPr>
    </w:p>
    <w:p w14:paraId="722D4955" w14:textId="77777777" w:rsidR="0073169A" w:rsidRPr="0069413C" w:rsidRDefault="0073169A" w:rsidP="0073169A">
      <w:pPr>
        <w:rPr>
          <w:rFonts w:asciiTheme="minorHAnsi" w:hAnsiTheme="minorHAnsi" w:cs="Arial"/>
          <w:lang w:val="mk-MK"/>
        </w:rPr>
      </w:pPr>
      <w:r w:rsidRPr="0069413C">
        <w:rPr>
          <w:rFonts w:asciiTheme="minorHAnsi" w:hAnsiTheme="minorHAnsi" w:cs="Arial"/>
          <w:lang w:val="mk-MK"/>
        </w:rPr>
        <w:t>Вкупниот инсталиран капацитет за производство на електрична енергија од комбинирани постројки за производство на електрична и топлинска енергија е 287 MW, односно 14,27% од вкупниот инсталиран капацитет во Република Македонија. Една комбинирана постројка ЕЛЕМ Енергетика е во сопственост на АД ЕЛЕМ Скопје, а додека останатите две (ТЕрмо електрана и ТОплана, ТЕ-ТО на Балкан Енерџи Груп и КОГЕЛ) се во приватна сопственост.</w:t>
      </w:r>
    </w:p>
    <w:p w14:paraId="4E63308C" w14:textId="77777777" w:rsidR="0073169A" w:rsidRPr="0069413C" w:rsidRDefault="0073169A" w:rsidP="0073169A">
      <w:pPr>
        <w:spacing w:after="0"/>
        <w:rPr>
          <w:rFonts w:asciiTheme="minorHAnsi" w:hAnsiTheme="minorHAnsi" w:cs="Arial"/>
          <w:i/>
          <w:iCs/>
          <w:u w:val="single"/>
          <w:lang w:val="mk-MK"/>
        </w:rPr>
      </w:pPr>
      <w:r w:rsidRPr="0069413C">
        <w:rPr>
          <w:rFonts w:asciiTheme="minorHAnsi" w:hAnsiTheme="minorHAnsi" w:cs="Arial"/>
          <w:i/>
          <w:iCs/>
          <w:u w:val="single"/>
        </w:rPr>
        <w:t>Комбинирани постројки во Република Македонија</w:t>
      </w:r>
    </w:p>
    <w:tbl>
      <w:tblPr>
        <w:tblStyle w:val="TableGrid"/>
        <w:tblW w:w="9483" w:type="dxa"/>
        <w:tblLook w:val="04A0" w:firstRow="1" w:lastRow="0" w:firstColumn="1" w:lastColumn="0" w:noHBand="0" w:noVBand="1"/>
      </w:tblPr>
      <w:tblGrid>
        <w:gridCol w:w="2294"/>
        <w:gridCol w:w="1925"/>
        <w:gridCol w:w="2971"/>
        <w:gridCol w:w="2293"/>
      </w:tblGrid>
      <w:tr w:rsidR="0073169A" w:rsidRPr="0069413C" w14:paraId="6C353DB5" w14:textId="77777777" w:rsidTr="00697F64">
        <w:tc>
          <w:tcPr>
            <w:tcW w:w="2294" w:type="dxa"/>
          </w:tcPr>
          <w:p w14:paraId="4E4A4FA3"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b/>
                <w:bCs/>
                <w:sz w:val="22"/>
                <w:szCs w:val="22"/>
              </w:rPr>
              <w:t>Назив</w:t>
            </w:r>
          </w:p>
        </w:tc>
        <w:tc>
          <w:tcPr>
            <w:tcW w:w="1925" w:type="dxa"/>
          </w:tcPr>
          <w:p w14:paraId="13DE05D2"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b/>
                <w:bCs/>
                <w:sz w:val="22"/>
                <w:szCs w:val="22"/>
              </w:rPr>
              <w:t>Инсталирана моќност (MW)</w:t>
            </w:r>
          </w:p>
        </w:tc>
        <w:tc>
          <w:tcPr>
            <w:tcW w:w="2971" w:type="dxa"/>
          </w:tcPr>
          <w:p w14:paraId="47920874"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b/>
                <w:bCs/>
                <w:sz w:val="22"/>
                <w:szCs w:val="22"/>
              </w:rPr>
              <w:t>Проектирано годишно производство (GWh)</w:t>
            </w:r>
          </w:p>
        </w:tc>
        <w:tc>
          <w:tcPr>
            <w:tcW w:w="2293" w:type="dxa"/>
          </w:tcPr>
          <w:p w14:paraId="485B28B3"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b/>
                <w:bCs/>
                <w:sz w:val="22"/>
                <w:szCs w:val="22"/>
              </w:rPr>
              <w:t>Локација</w:t>
            </w:r>
          </w:p>
        </w:tc>
      </w:tr>
      <w:tr w:rsidR="0073169A" w:rsidRPr="0069413C" w14:paraId="4977C57D" w14:textId="77777777" w:rsidTr="00697F64">
        <w:tc>
          <w:tcPr>
            <w:tcW w:w="2294" w:type="dxa"/>
          </w:tcPr>
          <w:p w14:paraId="518D2B0F"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ЕЛЕМ Енергетика </w:t>
            </w:r>
          </w:p>
        </w:tc>
        <w:tc>
          <w:tcPr>
            <w:tcW w:w="1925" w:type="dxa"/>
          </w:tcPr>
          <w:p w14:paraId="2FB9C447"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30</w:t>
            </w:r>
          </w:p>
        </w:tc>
        <w:tc>
          <w:tcPr>
            <w:tcW w:w="2971" w:type="dxa"/>
          </w:tcPr>
          <w:p w14:paraId="04ABABDE"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500</w:t>
            </w:r>
          </w:p>
        </w:tc>
        <w:tc>
          <w:tcPr>
            <w:tcW w:w="2293" w:type="dxa"/>
          </w:tcPr>
          <w:p w14:paraId="48ED0F7B"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Скопје</w:t>
            </w:r>
          </w:p>
        </w:tc>
      </w:tr>
      <w:tr w:rsidR="0073169A" w:rsidRPr="0069413C" w14:paraId="671FBA9D" w14:textId="77777777" w:rsidTr="00697F64">
        <w:tc>
          <w:tcPr>
            <w:tcW w:w="2294" w:type="dxa"/>
          </w:tcPr>
          <w:p w14:paraId="12E02427"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ТЕ-ТО </w:t>
            </w:r>
          </w:p>
        </w:tc>
        <w:tc>
          <w:tcPr>
            <w:tcW w:w="1925" w:type="dxa"/>
          </w:tcPr>
          <w:p w14:paraId="3BD7BA8B"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227</w:t>
            </w:r>
          </w:p>
        </w:tc>
        <w:tc>
          <w:tcPr>
            <w:tcW w:w="2971" w:type="dxa"/>
          </w:tcPr>
          <w:p w14:paraId="5E1C402F"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1.900</w:t>
            </w:r>
          </w:p>
        </w:tc>
        <w:tc>
          <w:tcPr>
            <w:tcW w:w="2293" w:type="dxa"/>
          </w:tcPr>
          <w:p w14:paraId="7CD7352B"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Скопје</w:t>
            </w:r>
          </w:p>
        </w:tc>
      </w:tr>
      <w:tr w:rsidR="0073169A" w:rsidRPr="0069413C" w14:paraId="2B9D7BFC" w14:textId="77777777" w:rsidTr="00697F64">
        <w:tc>
          <w:tcPr>
            <w:tcW w:w="2294" w:type="dxa"/>
          </w:tcPr>
          <w:p w14:paraId="47470CF3" w14:textId="77777777" w:rsidR="0073169A" w:rsidRPr="0069413C" w:rsidRDefault="0073169A" w:rsidP="00697F64">
            <w:pPr>
              <w:pStyle w:val="Default"/>
              <w:rPr>
                <w:rFonts w:asciiTheme="minorHAnsi" w:hAnsiTheme="minorHAnsi"/>
                <w:sz w:val="22"/>
                <w:szCs w:val="22"/>
              </w:rPr>
            </w:pPr>
            <w:r w:rsidRPr="0069413C">
              <w:rPr>
                <w:rFonts w:asciiTheme="minorHAnsi" w:hAnsiTheme="minorHAnsi"/>
                <w:sz w:val="22"/>
                <w:szCs w:val="22"/>
              </w:rPr>
              <w:t xml:space="preserve">КОГЕЛ </w:t>
            </w:r>
          </w:p>
        </w:tc>
        <w:tc>
          <w:tcPr>
            <w:tcW w:w="1925" w:type="dxa"/>
          </w:tcPr>
          <w:p w14:paraId="0BC8A00C"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30</w:t>
            </w:r>
          </w:p>
        </w:tc>
        <w:tc>
          <w:tcPr>
            <w:tcW w:w="2971" w:type="dxa"/>
          </w:tcPr>
          <w:p w14:paraId="2AB090B4"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600</w:t>
            </w:r>
          </w:p>
        </w:tc>
        <w:tc>
          <w:tcPr>
            <w:tcW w:w="2293" w:type="dxa"/>
          </w:tcPr>
          <w:p w14:paraId="52AC0089" w14:textId="77777777" w:rsidR="0073169A" w:rsidRPr="0069413C" w:rsidRDefault="0073169A" w:rsidP="00697F64">
            <w:pPr>
              <w:pStyle w:val="Default"/>
              <w:jc w:val="center"/>
              <w:rPr>
                <w:rFonts w:asciiTheme="minorHAnsi" w:hAnsiTheme="minorHAnsi"/>
                <w:sz w:val="22"/>
                <w:szCs w:val="22"/>
              </w:rPr>
            </w:pPr>
            <w:r w:rsidRPr="0069413C">
              <w:rPr>
                <w:rFonts w:asciiTheme="minorHAnsi" w:hAnsiTheme="minorHAnsi"/>
                <w:sz w:val="22"/>
                <w:szCs w:val="22"/>
              </w:rPr>
              <w:t>Скопје</w:t>
            </w:r>
          </w:p>
        </w:tc>
      </w:tr>
      <w:tr w:rsidR="0073169A" w:rsidRPr="0069413C" w14:paraId="5261E191" w14:textId="77777777" w:rsidTr="00697F64">
        <w:trPr>
          <w:trHeight w:val="369"/>
        </w:trPr>
        <w:tc>
          <w:tcPr>
            <w:tcW w:w="2294" w:type="dxa"/>
            <w:vAlign w:val="center"/>
          </w:tcPr>
          <w:p w14:paraId="53AA41D2" w14:textId="77777777" w:rsidR="0073169A" w:rsidRPr="0069413C" w:rsidRDefault="0073169A" w:rsidP="00697F64">
            <w:pPr>
              <w:rPr>
                <w:rFonts w:asciiTheme="minorHAnsi" w:hAnsiTheme="minorHAnsi" w:cs="Arial"/>
                <w:b/>
                <w:lang w:val="mk-MK"/>
              </w:rPr>
            </w:pPr>
            <w:r w:rsidRPr="0069413C">
              <w:rPr>
                <w:rFonts w:asciiTheme="minorHAnsi" w:hAnsiTheme="minorHAnsi" w:cs="Arial"/>
                <w:b/>
                <w:lang w:val="mk-MK"/>
              </w:rPr>
              <w:t>Вкупно</w:t>
            </w:r>
          </w:p>
        </w:tc>
        <w:tc>
          <w:tcPr>
            <w:tcW w:w="1925" w:type="dxa"/>
            <w:vAlign w:val="center"/>
          </w:tcPr>
          <w:p w14:paraId="45ABF5DF" w14:textId="77777777" w:rsidR="0073169A" w:rsidRPr="0069413C" w:rsidRDefault="0073169A" w:rsidP="00697F64">
            <w:pPr>
              <w:jc w:val="center"/>
              <w:rPr>
                <w:rFonts w:asciiTheme="minorHAnsi" w:hAnsiTheme="minorHAnsi" w:cs="Arial"/>
                <w:b/>
                <w:lang w:val="mk-MK"/>
              </w:rPr>
            </w:pPr>
            <w:r w:rsidRPr="0069413C">
              <w:rPr>
                <w:rFonts w:asciiTheme="minorHAnsi" w:hAnsiTheme="minorHAnsi" w:cs="Arial"/>
                <w:b/>
                <w:lang w:val="mk-MK"/>
              </w:rPr>
              <w:t>287</w:t>
            </w:r>
          </w:p>
        </w:tc>
        <w:tc>
          <w:tcPr>
            <w:tcW w:w="2971" w:type="dxa"/>
            <w:vAlign w:val="center"/>
          </w:tcPr>
          <w:p w14:paraId="71044B05" w14:textId="77777777" w:rsidR="0073169A" w:rsidRPr="0069413C" w:rsidRDefault="0073169A" w:rsidP="00697F64">
            <w:pPr>
              <w:jc w:val="center"/>
              <w:rPr>
                <w:rFonts w:asciiTheme="minorHAnsi" w:hAnsiTheme="minorHAnsi" w:cs="Arial"/>
                <w:b/>
                <w:lang w:val="mk-MK"/>
              </w:rPr>
            </w:pPr>
            <w:r w:rsidRPr="0069413C">
              <w:rPr>
                <w:rFonts w:asciiTheme="minorHAnsi" w:hAnsiTheme="minorHAnsi" w:cs="Arial"/>
                <w:b/>
                <w:lang w:val="mk-MK"/>
              </w:rPr>
              <w:t>3.000</w:t>
            </w:r>
          </w:p>
        </w:tc>
        <w:tc>
          <w:tcPr>
            <w:tcW w:w="2293" w:type="dxa"/>
            <w:vAlign w:val="center"/>
          </w:tcPr>
          <w:p w14:paraId="4CBEE4F1" w14:textId="77777777" w:rsidR="0073169A" w:rsidRPr="0069413C" w:rsidRDefault="0073169A" w:rsidP="00697F64">
            <w:pPr>
              <w:pStyle w:val="Default"/>
              <w:jc w:val="center"/>
              <w:rPr>
                <w:rFonts w:asciiTheme="minorHAnsi" w:hAnsiTheme="minorHAnsi"/>
                <w:b/>
                <w:bCs/>
                <w:sz w:val="22"/>
                <w:szCs w:val="22"/>
              </w:rPr>
            </w:pPr>
          </w:p>
        </w:tc>
      </w:tr>
    </w:tbl>
    <w:p w14:paraId="101766B9" w14:textId="77777777" w:rsidR="0073169A" w:rsidRPr="0069413C" w:rsidRDefault="0073169A" w:rsidP="0073169A">
      <w:pPr>
        <w:spacing w:after="0"/>
        <w:rPr>
          <w:rFonts w:asciiTheme="minorHAnsi" w:hAnsiTheme="minorHAnsi" w:cs="Arial"/>
          <w:lang w:val="mk-MK"/>
        </w:rPr>
      </w:pPr>
    </w:p>
    <w:p w14:paraId="07B39A6A" w14:textId="6CCC8206" w:rsidR="00B16C23" w:rsidRPr="00917355" w:rsidRDefault="0073169A" w:rsidP="0073169A">
      <w:pPr>
        <w:rPr>
          <w:lang w:val="ro-RO"/>
        </w:rPr>
      </w:pPr>
      <w:r w:rsidRPr="0069413C">
        <w:rPr>
          <w:rFonts w:asciiTheme="minorHAnsi" w:hAnsiTheme="minorHAnsi" w:cs="Arial"/>
          <w:lang w:val="mk-MK"/>
        </w:rPr>
        <w:t>Енергетскиот сектор т.е производството на електрична енергија е еден од секторите кои имаат најголемо влијание на животната средина, како последица на согорувањето на јаглен со лош квалитет во термоелектраните. Една од целите на Стратегијата за развој на енергетиката во Македонија е заштита на животната середина и намалување на емисиите на стакленички гасови, цел која е преточена во активност преку Планот за намалување на емисиите на стакленички гасови од секторот енергетика од Третиот национален план за климатски промени.</w:t>
      </w:r>
    </w:p>
    <w:p w14:paraId="10377B06" w14:textId="77777777" w:rsidR="00B16C23" w:rsidRDefault="00B16C04" w:rsidP="00B16C23">
      <w:pPr>
        <w:pStyle w:val="Heading2"/>
        <w:numPr>
          <w:ilvl w:val="1"/>
          <w:numId w:val="2"/>
        </w:numPr>
        <w:rPr>
          <w:lang w:val="ro-RO"/>
        </w:rPr>
      </w:pPr>
      <w:bookmarkStart w:id="38" w:name="_Toc444009826"/>
      <w:r>
        <w:rPr>
          <w:rFonts w:eastAsia="Calibri" w:cs="Calibri"/>
          <w:szCs w:val="32"/>
          <w:bdr w:val="nil"/>
          <w:lang w:val="mk-MK" w:bidi="mk-MK"/>
        </w:rPr>
        <w:lastRenderedPageBreak/>
        <w:t>Законодавство на сила</w:t>
      </w:r>
      <w:bookmarkEnd w:id="38"/>
    </w:p>
    <w:p w14:paraId="28556CEB" w14:textId="77777777" w:rsidR="0073169A" w:rsidRPr="0004616A" w:rsidRDefault="0073169A" w:rsidP="0073169A">
      <w:pPr>
        <w:rPr>
          <w:rFonts w:cs="Calibri"/>
          <w:lang w:val="mk-MK"/>
        </w:rPr>
      </w:pPr>
      <w:r>
        <w:rPr>
          <w:rFonts w:cs="Calibri"/>
          <w:lang w:val="mk-MK"/>
        </w:rPr>
        <w:t>Во делот „Законодавство„ на веб страницата на ДИЖС</w:t>
      </w:r>
      <w:r w:rsidRPr="0004616A">
        <w:rPr>
          <w:rFonts w:cs="Calibri"/>
          <w:lang w:val="mk-MK"/>
        </w:rPr>
        <w:t xml:space="preserve"> (</w:t>
      </w:r>
      <w:hyperlink r:id="rId11" w:history="1">
        <w:r w:rsidRPr="0004616A">
          <w:rPr>
            <w:rStyle w:val="Hyperlink"/>
            <w:rFonts w:cs="Calibri"/>
            <w:lang w:val="mk-MK"/>
          </w:rPr>
          <w:t>http://www.sei.gov.mk/page_en.asp?ID=2</w:t>
        </w:r>
      </w:hyperlink>
      <w:r w:rsidRPr="0004616A">
        <w:rPr>
          <w:rFonts w:cs="Calibri"/>
          <w:lang w:val="mk-MK"/>
        </w:rPr>
        <w:t>)</w:t>
      </w:r>
      <w:r>
        <w:rPr>
          <w:rFonts w:cs="Calibri"/>
          <w:lang w:val="mk-MK"/>
        </w:rPr>
        <w:t xml:space="preserve"> достапни се и</w:t>
      </w:r>
      <w:r w:rsidRPr="0004616A">
        <w:rPr>
          <w:rFonts w:cs="Calibri"/>
          <w:lang w:val="mk-MK"/>
        </w:rPr>
        <w:t xml:space="preserve"> </w:t>
      </w:r>
      <w:r>
        <w:rPr>
          <w:rFonts w:cs="Calibri"/>
          <w:lang w:val="mk-MK"/>
        </w:rPr>
        <w:t>закачени се релевантните законски акти</w:t>
      </w:r>
      <w:r w:rsidRPr="0004616A">
        <w:rPr>
          <w:rFonts w:cs="Calibri"/>
          <w:lang w:val="mk-MK"/>
        </w:rPr>
        <w:t>.</w:t>
      </w:r>
    </w:p>
    <w:p w14:paraId="70404018" w14:textId="77777777" w:rsidR="0073169A" w:rsidRPr="00E85B2A" w:rsidRDefault="0073169A" w:rsidP="0073169A">
      <w:pPr>
        <w:rPr>
          <w:rFonts w:cs="Calibri"/>
          <w:lang w:val="mk-MK"/>
        </w:rPr>
      </w:pPr>
      <w:r>
        <w:rPr>
          <w:rFonts w:cs="Calibri"/>
          <w:lang w:val="mk-MK"/>
        </w:rPr>
        <w:t>Тоа се следниве основни закони:</w:t>
      </w:r>
    </w:p>
    <w:p w14:paraId="6BE7D8EB" w14:textId="77777777" w:rsidR="0073169A" w:rsidRDefault="0073169A" w:rsidP="0073169A">
      <w:pPr>
        <w:numPr>
          <w:ilvl w:val="0"/>
          <w:numId w:val="22"/>
        </w:numPr>
      </w:pPr>
      <w:r>
        <w:rPr>
          <w:lang w:val="mk-MK"/>
        </w:rPr>
        <w:t>Закон за животната средина</w:t>
      </w:r>
    </w:p>
    <w:p w14:paraId="3879A77B" w14:textId="77777777" w:rsidR="0073169A" w:rsidRDefault="0073169A" w:rsidP="0073169A">
      <w:pPr>
        <w:numPr>
          <w:ilvl w:val="0"/>
          <w:numId w:val="22"/>
        </w:numPr>
      </w:pPr>
      <w:r>
        <w:rPr>
          <w:lang w:val="mk-MK"/>
        </w:rPr>
        <w:t>Закон за инспекциски надзор</w:t>
      </w:r>
    </w:p>
    <w:p w14:paraId="2E1AFA1E" w14:textId="77777777" w:rsidR="0073169A" w:rsidRDefault="0073169A" w:rsidP="0073169A">
      <w:pPr>
        <w:numPr>
          <w:ilvl w:val="0"/>
          <w:numId w:val="22"/>
        </w:numPr>
      </w:pPr>
      <w:r>
        <w:rPr>
          <w:lang w:val="mk-MK"/>
        </w:rPr>
        <w:t>Закон за водите</w:t>
      </w:r>
    </w:p>
    <w:p w14:paraId="5BFA21F8" w14:textId="77777777" w:rsidR="0073169A" w:rsidRDefault="0073169A" w:rsidP="0073169A">
      <w:pPr>
        <w:numPr>
          <w:ilvl w:val="0"/>
          <w:numId w:val="22"/>
        </w:numPr>
      </w:pPr>
      <w:r>
        <w:rPr>
          <w:lang w:val="mk-MK"/>
        </w:rPr>
        <w:t>Закон за заштита на природата</w:t>
      </w:r>
    </w:p>
    <w:p w14:paraId="25F61577" w14:textId="77777777" w:rsidR="0073169A" w:rsidRDefault="0073169A" w:rsidP="0073169A">
      <w:pPr>
        <w:numPr>
          <w:ilvl w:val="0"/>
          <w:numId w:val="22"/>
        </w:numPr>
        <w:rPr>
          <w:rFonts w:cs="Arial"/>
        </w:rPr>
      </w:pPr>
      <w:r>
        <w:rPr>
          <w:lang w:val="mk-MK"/>
        </w:rPr>
        <w:t>Закон за заштита од бучава во животната средина</w:t>
      </w:r>
      <w:r w:rsidRPr="00752498">
        <w:rPr>
          <w:rFonts w:cs="Arial"/>
        </w:rPr>
        <w:t xml:space="preserve"> </w:t>
      </w:r>
    </w:p>
    <w:p w14:paraId="6CA23F0F" w14:textId="77777777" w:rsidR="0073169A" w:rsidRDefault="0073169A" w:rsidP="0073169A">
      <w:pPr>
        <w:numPr>
          <w:ilvl w:val="0"/>
          <w:numId w:val="22"/>
        </w:numPr>
        <w:rPr>
          <w:rFonts w:cs="Arial"/>
        </w:rPr>
      </w:pPr>
      <w:r>
        <w:rPr>
          <w:lang w:val="mk-MK"/>
        </w:rPr>
        <w:t>Закон за квалитет на амбиенталниот воздух</w:t>
      </w:r>
    </w:p>
    <w:p w14:paraId="275A1192" w14:textId="77777777" w:rsidR="0073169A" w:rsidRDefault="0073169A" w:rsidP="0073169A">
      <w:pPr>
        <w:numPr>
          <w:ilvl w:val="0"/>
          <w:numId w:val="22"/>
        </w:numPr>
        <w:rPr>
          <w:rFonts w:cs="Arial"/>
        </w:rPr>
      </w:pPr>
      <w:r>
        <w:rPr>
          <w:lang w:val="mk-MK"/>
        </w:rPr>
        <w:t>Закон управување со отпад</w:t>
      </w:r>
    </w:p>
    <w:p w14:paraId="4560CFE7" w14:textId="77777777" w:rsidR="0073169A" w:rsidRPr="00A53E31" w:rsidRDefault="0073169A" w:rsidP="0073169A">
      <w:pPr>
        <w:numPr>
          <w:ilvl w:val="0"/>
          <w:numId w:val="22"/>
        </w:numPr>
        <w:rPr>
          <w:rFonts w:cs="Arial"/>
        </w:rPr>
      </w:pPr>
      <w:r>
        <w:rPr>
          <w:lang w:val="mk-MK"/>
        </w:rPr>
        <w:t>Закон за управување со батерии и акумулатори и отпад од батерии и акумулатори</w:t>
      </w:r>
    </w:p>
    <w:p w14:paraId="2E149DCC" w14:textId="77777777" w:rsidR="0073169A" w:rsidRPr="003F1365" w:rsidRDefault="0073169A" w:rsidP="0073169A">
      <w:pPr>
        <w:numPr>
          <w:ilvl w:val="0"/>
          <w:numId w:val="22"/>
        </w:numPr>
        <w:rPr>
          <w:rFonts w:cs="Arial"/>
        </w:rPr>
      </w:pPr>
      <w:r>
        <w:rPr>
          <w:lang w:val="mk-MK"/>
        </w:rPr>
        <w:t>Закон за управување со пакување и отпад од пакување</w:t>
      </w:r>
      <w:r w:rsidRPr="003F1365">
        <w:rPr>
          <w:rFonts w:cs="Arial"/>
        </w:rPr>
        <w:t xml:space="preserve"> </w:t>
      </w:r>
    </w:p>
    <w:p w14:paraId="67F65C85" w14:textId="77777777" w:rsidR="0073169A" w:rsidRPr="00752498" w:rsidRDefault="0073169A" w:rsidP="0073169A">
      <w:pPr>
        <w:numPr>
          <w:ilvl w:val="0"/>
          <w:numId w:val="22"/>
        </w:numPr>
        <w:rPr>
          <w:rFonts w:cs="Arial"/>
        </w:rPr>
      </w:pPr>
      <w:r>
        <w:rPr>
          <w:lang w:val="mk-MK"/>
        </w:rPr>
        <w:t>Закон за управување со електрична и електронска опрема и отпад од електрична и електронска опрема</w:t>
      </w:r>
    </w:p>
    <w:p w14:paraId="71484A1B" w14:textId="77777777" w:rsidR="0073169A" w:rsidRPr="00752498" w:rsidRDefault="0073169A" w:rsidP="0073169A">
      <w:pPr>
        <w:numPr>
          <w:ilvl w:val="0"/>
          <w:numId w:val="22"/>
        </w:numPr>
        <w:rPr>
          <w:rFonts w:cs="Arial"/>
        </w:rPr>
      </w:pPr>
      <w:r>
        <w:rPr>
          <w:lang w:val="mk-MK"/>
        </w:rPr>
        <w:t>Закон за генетски модифицирани организми</w:t>
      </w:r>
      <w:r w:rsidRPr="00752498">
        <w:rPr>
          <w:rFonts w:cs="Arial"/>
        </w:rPr>
        <w:t xml:space="preserve"> </w:t>
      </w:r>
    </w:p>
    <w:p w14:paraId="7D4FEE4F" w14:textId="77777777" w:rsidR="0073169A" w:rsidRPr="00EC5A4B" w:rsidRDefault="0073169A" w:rsidP="0073169A">
      <w:pPr>
        <w:numPr>
          <w:ilvl w:val="0"/>
          <w:numId w:val="22"/>
        </w:numPr>
        <w:rPr>
          <w:rFonts w:cs="Arial"/>
        </w:rPr>
      </w:pPr>
      <w:r>
        <w:rPr>
          <w:lang w:val="mk-MK"/>
        </w:rPr>
        <w:t>Закон за контрола на емисиите на испарливите органски соединенија од користење на нафта</w:t>
      </w:r>
      <w:r w:rsidRPr="00752498">
        <w:rPr>
          <w:rFonts w:cs="Arial"/>
        </w:rPr>
        <w:t xml:space="preserve"> </w:t>
      </w:r>
    </w:p>
    <w:p w14:paraId="7E763A51" w14:textId="77777777" w:rsidR="0073169A" w:rsidRPr="00AF6F0B" w:rsidRDefault="0073169A" w:rsidP="0073169A">
      <w:pPr>
        <w:numPr>
          <w:ilvl w:val="0"/>
          <w:numId w:val="22"/>
        </w:numPr>
        <w:rPr>
          <w:rFonts w:cs="Arial"/>
        </w:rPr>
      </w:pPr>
      <w:r>
        <w:rPr>
          <w:lang w:val="mk-MK"/>
        </w:rPr>
        <w:t>Закон за општа и управна постапка</w:t>
      </w:r>
      <w:r w:rsidRPr="00752498">
        <w:rPr>
          <w:rFonts w:cs="Arial"/>
          <w:lang w:val="mk-MK"/>
        </w:rPr>
        <w:t xml:space="preserve"> </w:t>
      </w:r>
    </w:p>
    <w:p w14:paraId="18A82BBE" w14:textId="77777777" w:rsidR="0073169A" w:rsidRPr="00AF6F0B" w:rsidRDefault="0073169A" w:rsidP="0073169A">
      <w:pPr>
        <w:numPr>
          <w:ilvl w:val="0"/>
          <w:numId w:val="22"/>
        </w:numPr>
        <w:rPr>
          <w:rFonts w:cs="Arial"/>
        </w:rPr>
      </w:pPr>
      <w:r>
        <w:rPr>
          <w:lang w:val="mk-MK"/>
        </w:rPr>
        <w:t>Закон за прекршоци</w:t>
      </w:r>
      <w:r w:rsidRPr="00752498">
        <w:rPr>
          <w:rFonts w:cs="Arial"/>
          <w:lang w:val="mk-MK"/>
        </w:rPr>
        <w:t xml:space="preserve"> </w:t>
      </w:r>
    </w:p>
    <w:p w14:paraId="06A2C44F" w14:textId="77777777" w:rsidR="0073169A" w:rsidRPr="00752498" w:rsidRDefault="0073169A" w:rsidP="0073169A">
      <w:pPr>
        <w:numPr>
          <w:ilvl w:val="0"/>
          <w:numId w:val="22"/>
        </w:numPr>
        <w:rPr>
          <w:rFonts w:cs="Arial"/>
        </w:rPr>
      </w:pPr>
      <w:r>
        <w:rPr>
          <w:lang w:val="mk-MK"/>
        </w:rPr>
        <w:t>Кривичен законик и Закон за кривична постапка</w:t>
      </w:r>
    </w:p>
    <w:p w14:paraId="2D51CB97" w14:textId="77777777" w:rsidR="0073169A" w:rsidRPr="00AF6F0B" w:rsidRDefault="0073169A" w:rsidP="0073169A">
      <w:pPr>
        <w:numPr>
          <w:ilvl w:val="0"/>
          <w:numId w:val="22"/>
        </w:numPr>
        <w:rPr>
          <w:rFonts w:cs="Arial"/>
        </w:rPr>
      </w:pPr>
      <w:r>
        <w:rPr>
          <w:lang w:val="mk-MK"/>
        </w:rPr>
        <w:t>Закон за формирање на Државна Комисија за одлучување во второстепена постапка во областа на инспекцискиот надзор и прекршочни постапки</w:t>
      </w:r>
      <w:r w:rsidRPr="00752498">
        <w:t xml:space="preserve"> </w:t>
      </w:r>
    </w:p>
    <w:p w14:paraId="35FC1EDF" w14:textId="77777777" w:rsidR="0073169A" w:rsidRDefault="0073169A" w:rsidP="0073169A">
      <w:pPr>
        <w:rPr>
          <w:rFonts w:cs="Calibri"/>
          <w:lang w:val="mk-MK"/>
        </w:rPr>
      </w:pPr>
      <w:r>
        <w:rPr>
          <w:rFonts w:cs="Calibri"/>
          <w:lang w:val="mk-MK"/>
        </w:rPr>
        <w:t>Освен тоа, на веб страницата на МЖСПП</w:t>
      </w:r>
      <w:r>
        <w:rPr>
          <w:rFonts w:cs="Calibri"/>
        </w:rPr>
        <w:t xml:space="preserve"> (</w:t>
      </w:r>
      <w:hyperlink r:id="rId12" w:history="1">
        <w:r w:rsidRPr="00466C8F">
          <w:rPr>
            <w:rStyle w:val="Hyperlink"/>
            <w:rFonts w:cs="Calibri"/>
          </w:rPr>
          <w:t>http://www.moepp.gov.mk</w:t>
        </w:r>
      </w:hyperlink>
      <w:r>
        <w:rPr>
          <w:rFonts w:cs="Calibri"/>
        </w:rPr>
        <w:t xml:space="preserve">) </w:t>
      </w:r>
      <w:r>
        <w:rPr>
          <w:rFonts w:cs="Calibri"/>
          <w:lang w:val="mk-MK"/>
        </w:rPr>
        <w:t xml:space="preserve">има линк до релевантното примарно и секундарно законодавство. </w:t>
      </w:r>
    </w:p>
    <w:p w14:paraId="6C41CEA5" w14:textId="58E6A5CB" w:rsidR="00B16C23" w:rsidRPr="0073169A" w:rsidRDefault="0073169A" w:rsidP="0073169A">
      <w:pPr>
        <w:rPr>
          <w:lang w:val="mk-MK"/>
        </w:rPr>
      </w:pPr>
      <w:r>
        <w:rPr>
          <w:rFonts w:cs="Calibri"/>
          <w:lang w:val="mk-MK"/>
        </w:rPr>
        <w:t>Информации за секундарното законосавство како Правилниците може да најдете на веб страницата на Службен Весник на РМ</w:t>
      </w:r>
      <w:r w:rsidRPr="008C2B95">
        <w:rPr>
          <w:rFonts w:cs="Calibri"/>
          <w:lang w:val="mk-MK"/>
        </w:rPr>
        <w:t xml:space="preserve"> (</w:t>
      </w:r>
      <w:hyperlink r:id="rId13" w:history="1">
        <w:r w:rsidRPr="008C2B95">
          <w:rPr>
            <w:rStyle w:val="Hyperlink"/>
            <w:lang w:val="mk-MK"/>
          </w:rPr>
          <w:t>www.slvesnik.com.mk</w:t>
        </w:r>
      </w:hyperlink>
      <w:r w:rsidRPr="008C2B95">
        <w:rPr>
          <w:rFonts w:cs="Calibri"/>
          <w:lang w:val="mk-MK"/>
        </w:rPr>
        <w:t>)</w:t>
      </w:r>
      <w:r w:rsidRPr="003E1DA4">
        <w:rPr>
          <w:rFonts w:cs="Calibri"/>
          <w:lang w:val="mk-MK"/>
        </w:rPr>
        <w:t>.</w:t>
      </w:r>
    </w:p>
    <w:p w14:paraId="33A19072" w14:textId="77777777" w:rsidR="00B16C23" w:rsidRPr="0073169A" w:rsidRDefault="00B16C04" w:rsidP="00B16C23">
      <w:pPr>
        <w:pStyle w:val="Heading1"/>
        <w:numPr>
          <w:ilvl w:val="0"/>
          <w:numId w:val="1"/>
        </w:numPr>
        <w:rPr>
          <w:lang w:val="mk-MK"/>
        </w:rPr>
      </w:pPr>
      <w:r>
        <w:rPr>
          <w:rFonts w:eastAsia="Calibri" w:cs="Calibri"/>
          <w:iCs/>
          <w:szCs w:val="40"/>
          <w:bdr w:val="nil"/>
          <w:lang w:val="mk-MK" w:bidi="mk-MK"/>
        </w:rPr>
        <w:br w:type="page"/>
      </w:r>
      <w:bookmarkStart w:id="39" w:name="_Toc444009827"/>
      <w:r>
        <w:rPr>
          <w:rFonts w:eastAsia="Calibri" w:cs="Calibri"/>
          <w:iCs/>
          <w:szCs w:val="40"/>
          <w:bdr w:val="nil"/>
          <w:lang w:val="mk-MK" w:bidi="mk-MK"/>
        </w:rPr>
        <w:lastRenderedPageBreak/>
        <w:t>Главни прашања во врска со животната средина во секторот</w:t>
      </w:r>
      <w:bookmarkEnd w:id="39"/>
      <w:r>
        <w:rPr>
          <w:rFonts w:eastAsia="Calibri" w:cs="Calibri"/>
          <w:iCs/>
          <w:szCs w:val="40"/>
          <w:bdr w:val="nil"/>
          <w:lang w:val="mk-MK" w:bidi="mk-MK"/>
        </w:rPr>
        <w:t xml:space="preserve"> </w:t>
      </w:r>
    </w:p>
    <w:p w14:paraId="582F2CAB" w14:textId="1394E4AD" w:rsidR="00B16C23" w:rsidRPr="00D0352B" w:rsidRDefault="00B16C04" w:rsidP="005748BE">
      <w:pPr>
        <w:pStyle w:val="Heading2"/>
        <w:numPr>
          <w:ilvl w:val="1"/>
          <w:numId w:val="6"/>
        </w:numPr>
        <w:rPr>
          <w:lang w:val="ro-RO"/>
        </w:rPr>
      </w:pPr>
      <w:bookmarkStart w:id="40" w:name="_Toc444009828"/>
      <w:r>
        <w:rPr>
          <w:rFonts w:eastAsia="Calibri" w:cs="Calibri"/>
          <w:szCs w:val="32"/>
          <w:bdr w:val="nil"/>
          <w:lang w:val="mk-MK" w:bidi="mk-MK"/>
        </w:rPr>
        <w:t>Прелиминарни информации за Референтниот документ за најдобри достапни техники за го</w:t>
      </w:r>
      <w:r w:rsidR="00062DAF">
        <w:rPr>
          <w:rFonts w:eastAsia="Calibri" w:cs="Calibri"/>
          <w:szCs w:val="32"/>
          <w:bdr w:val="nil"/>
          <w:lang w:val="mk-MK" w:bidi="mk-MK"/>
        </w:rPr>
        <w:t>леми постројки за согорување и з</w:t>
      </w:r>
      <w:r>
        <w:rPr>
          <w:rFonts w:eastAsia="Calibri" w:cs="Calibri"/>
          <w:szCs w:val="32"/>
          <w:bdr w:val="nil"/>
          <w:lang w:val="mk-MK" w:bidi="mk-MK"/>
        </w:rPr>
        <w:t>а Најдобрите достапни техники</w:t>
      </w:r>
      <w:bookmarkEnd w:id="40"/>
      <w:r>
        <w:rPr>
          <w:rFonts w:eastAsia="Calibri" w:cs="Calibri"/>
          <w:szCs w:val="32"/>
          <w:bdr w:val="nil"/>
          <w:lang w:val="mk-MK" w:bidi="mk-MK"/>
        </w:rPr>
        <w:t xml:space="preserve">  </w:t>
      </w:r>
    </w:p>
    <w:p w14:paraId="24D1925C" w14:textId="6268FBFB" w:rsidR="00B16C23" w:rsidRPr="00623485" w:rsidRDefault="00062DAF" w:rsidP="00B16C23">
      <w:pPr>
        <w:rPr>
          <w:b/>
          <w:i/>
          <w:lang w:val="mk-MK"/>
        </w:rPr>
      </w:pPr>
      <w:r>
        <w:rPr>
          <w:rFonts w:cs="Calibri"/>
          <w:b/>
          <w:bCs/>
          <w:i/>
          <w:iCs/>
          <w:bdr w:val="nil"/>
          <w:lang w:val="mk-MK" w:bidi="mk-MK"/>
        </w:rPr>
        <w:t xml:space="preserve">Прва важна точка: Најновата </w:t>
      </w:r>
      <w:r w:rsidR="00B16C04">
        <w:rPr>
          <w:rFonts w:cs="Calibri"/>
          <w:b/>
          <w:bCs/>
          <w:i/>
          <w:iCs/>
          <w:bdr w:val="nil"/>
          <w:lang w:val="mk-MK" w:bidi="mk-MK"/>
        </w:rPr>
        <w:t xml:space="preserve">верзија на Референтниот документ за најдобрите достапни техники </w:t>
      </w:r>
      <w:r w:rsidR="003528C6">
        <w:rPr>
          <w:rFonts w:cs="Calibri"/>
          <w:b/>
          <w:bCs/>
          <w:i/>
          <w:iCs/>
          <w:bdr w:val="nil"/>
          <w:lang w:val="mk-MK" w:bidi="mk-MK"/>
        </w:rPr>
        <w:t xml:space="preserve">(БРЕФ) </w:t>
      </w:r>
      <w:r w:rsidR="00B16C04">
        <w:rPr>
          <w:rFonts w:cs="Calibri"/>
          <w:b/>
          <w:bCs/>
          <w:i/>
          <w:iCs/>
          <w:bdr w:val="nil"/>
          <w:lang w:val="mk-MK" w:bidi="mk-MK"/>
        </w:rPr>
        <w:t>за големи постројк</w:t>
      </w:r>
      <w:r>
        <w:rPr>
          <w:rFonts w:cs="Calibri"/>
          <w:b/>
          <w:bCs/>
          <w:i/>
          <w:iCs/>
          <w:bdr w:val="nil"/>
          <w:lang w:val="mk-MK" w:bidi="mk-MK"/>
        </w:rPr>
        <w:t xml:space="preserve">и за согорување </w:t>
      </w:r>
      <w:r w:rsidRPr="00062DAF">
        <w:rPr>
          <w:rFonts w:asciiTheme="minorHAnsi" w:hAnsiTheme="minorHAnsi" w:cstheme="minorHAnsi"/>
          <w:b/>
          <w:bCs/>
          <w:i/>
          <w:iCs/>
          <w:bdr w:val="nil"/>
          <w:lang w:val="mk-MK" w:bidi="mk-MK"/>
        </w:rPr>
        <w:t>сè</w:t>
      </w:r>
      <w:r w:rsidR="00B16C04">
        <w:rPr>
          <w:rFonts w:cs="Calibri"/>
          <w:b/>
          <w:bCs/>
          <w:i/>
          <w:iCs/>
          <w:bdr w:val="nil"/>
          <w:lang w:val="mk-MK" w:bidi="mk-MK"/>
        </w:rPr>
        <w:t xml:space="preserve"> уште се подготвува и подато</w:t>
      </w:r>
      <w:r w:rsidR="007E4A7A">
        <w:rPr>
          <w:rFonts w:cs="Calibri"/>
          <w:b/>
          <w:bCs/>
          <w:i/>
          <w:iCs/>
          <w:bdr w:val="nil"/>
          <w:lang w:val="mk-MK" w:bidi="mk-MK"/>
        </w:rPr>
        <w:t>ците кои се прикажуваат во ова П</w:t>
      </w:r>
      <w:r w:rsidR="00B16C04">
        <w:rPr>
          <w:rFonts w:cs="Calibri"/>
          <w:b/>
          <w:bCs/>
          <w:i/>
          <w:iCs/>
          <w:bdr w:val="nil"/>
          <w:lang w:val="mk-MK" w:bidi="mk-MK"/>
        </w:rPr>
        <w:t xml:space="preserve">оглавје </w:t>
      </w:r>
      <w:r w:rsidRPr="00062DAF">
        <w:rPr>
          <w:rFonts w:asciiTheme="minorHAnsi" w:hAnsiTheme="minorHAnsi" w:cstheme="minorHAnsi"/>
          <w:b/>
          <w:bCs/>
          <w:i/>
          <w:iCs/>
          <w:bdr w:val="nil"/>
          <w:lang w:val="mk-MK" w:bidi="mk-MK"/>
        </w:rPr>
        <w:t>сè</w:t>
      </w:r>
      <w:r>
        <w:rPr>
          <w:rFonts w:cs="Calibri"/>
          <w:b/>
          <w:bCs/>
          <w:i/>
          <w:iCs/>
          <w:bdr w:val="nil"/>
          <w:lang w:val="mk-MK" w:bidi="mk-MK"/>
        </w:rPr>
        <w:t xml:space="preserve"> </w:t>
      </w:r>
      <w:r w:rsidR="00B16C04">
        <w:rPr>
          <w:rFonts w:cs="Calibri"/>
          <w:b/>
          <w:bCs/>
          <w:i/>
          <w:iCs/>
          <w:bdr w:val="nil"/>
          <w:lang w:val="mk-MK" w:bidi="mk-MK"/>
        </w:rPr>
        <w:t xml:space="preserve">уште не се дефинитивни (најверојатно во ЕУ ќе се прифатат во 2016 година).  Сегашниот </w:t>
      </w:r>
      <w:r w:rsidR="003528C6">
        <w:rPr>
          <w:rFonts w:cs="Calibri"/>
          <w:b/>
          <w:bCs/>
          <w:i/>
          <w:iCs/>
          <w:bdr w:val="nil"/>
          <w:lang w:val="mk-MK" w:bidi="mk-MK"/>
        </w:rPr>
        <w:t xml:space="preserve">БРЕФ </w:t>
      </w:r>
      <w:r w:rsidR="00B16C04">
        <w:rPr>
          <w:rFonts w:cs="Calibri"/>
          <w:b/>
          <w:bCs/>
          <w:i/>
          <w:iCs/>
          <w:bdr w:val="nil"/>
          <w:lang w:val="mk-MK" w:bidi="mk-MK"/>
        </w:rPr>
        <w:t xml:space="preserve">е од 2006 година; а најголем дел од НДТ кои се во него се веќе застарени. </w:t>
      </w:r>
    </w:p>
    <w:p w14:paraId="16E89F07" w14:textId="77777777" w:rsidR="00B16C23" w:rsidRPr="00623485" w:rsidRDefault="00B16C04" w:rsidP="005748BE">
      <w:pPr>
        <w:pStyle w:val="Heading3"/>
        <w:numPr>
          <w:ilvl w:val="2"/>
          <w:numId w:val="6"/>
        </w:numPr>
        <w:rPr>
          <w:lang w:val="mk-MK"/>
        </w:rPr>
      </w:pPr>
      <w:bookmarkStart w:id="41" w:name="_Toc444009829"/>
      <w:r>
        <w:rPr>
          <w:rFonts w:eastAsia="Calibri" w:cs="Calibri"/>
          <w:szCs w:val="28"/>
          <w:bdr w:val="nil"/>
          <w:lang w:val="mk-MK" w:bidi="mk-MK"/>
        </w:rPr>
        <w:t>Опсег на Референтниот документ за најдобрите достапни техники за големи постројки за согорување и Заклучоци за НДТ</w:t>
      </w:r>
      <w:bookmarkEnd w:id="41"/>
      <w:r>
        <w:rPr>
          <w:rFonts w:eastAsia="Calibri" w:cs="Calibri"/>
          <w:szCs w:val="28"/>
          <w:bdr w:val="nil"/>
          <w:lang w:val="mk-MK" w:bidi="mk-MK"/>
        </w:rPr>
        <w:t xml:space="preserve"> </w:t>
      </w:r>
    </w:p>
    <w:p w14:paraId="75298D95" w14:textId="08BCD855" w:rsidR="00B16C23" w:rsidRPr="00623485" w:rsidRDefault="002E56CE" w:rsidP="00B16C23">
      <w:pPr>
        <w:rPr>
          <w:lang w:val="mk-MK"/>
        </w:rPr>
      </w:pPr>
      <w:r>
        <w:rPr>
          <w:rFonts w:cs="Calibri"/>
          <w:bdr w:val="nil"/>
          <w:lang w:val="mk-MK" w:bidi="mk-MK"/>
        </w:rPr>
        <w:t>Опсегот на З</w:t>
      </w:r>
      <w:r w:rsidR="00B16C04">
        <w:rPr>
          <w:rFonts w:cs="Calibri"/>
          <w:bdr w:val="nil"/>
          <w:lang w:val="mk-MK" w:bidi="mk-MK"/>
        </w:rPr>
        <w:t xml:space="preserve">аклучоците за НДТ за големи постројки за согорување е даден во воведот на Поглавје 10 од </w:t>
      </w:r>
      <w:r w:rsidR="003528C6">
        <w:rPr>
          <w:rFonts w:cs="Calibri"/>
          <w:bdr w:val="nil"/>
          <w:lang w:val="mk-MK" w:bidi="mk-MK"/>
        </w:rPr>
        <w:t xml:space="preserve">БРЕФ </w:t>
      </w:r>
      <w:r w:rsidR="00B16C04">
        <w:rPr>
          <w:rFonts w:cs="Calibri"/>
          <w:bdr w:val="nil"/>
          <w:lang w:val="mk-MK" w:bidi="mk-MK"/>
        </w:rPr>
        <w:t xml:space="preserve">за големи постројки за согорување. Заклучоците од НДТ за големи постројки за согорување се однесуваат на согорувањето на горива во инсталации со вкупен номинален топлински капацитет над 50 MWth, како и постројки кои се состојат од здружени </w:t>
      </w:r>
      <w:r>
        <w:rPr>
          <w:rFonts w:cs="Calibri"/>
          <w:bdr w:val="nil"/>
          <w:lang w:val="mk-MK" w:bidi="mk-MK"/>
        </w:rPr>
        <w:t xml:space="preserve">постројки </w:t>
      </w:r>
      <w:r w:rsidR="00B16C04">
        <w:rPr>
          <w:rFonts w:cs="Calibri"/>
          <w:bdr w:val="nil"/>
          <w:lang w:val="mk-MK" w:bidi="mk-MK"/>
        </w:rPr>
        <w:t>со капацитет над 15 MWth. Г</w:t>
      </w:r>
      <w:r>
        <w:rPr>
          <w:rFonts w:cs="Calibri"/>
          <w:bdr w:val="nil"/>
          <w:lang w:val="mk-MK" w:bidi="mk-MK"/>
        </w:rPr>
        <w:t>оривата кои се обработуваат во Заклучоците з</w:t>
      </w:r>
      <w:r w:rsidR="00B16C04">
        <w:rPr>
          <w:rFonts w:cs="Calibri"/>
          <w:bdr w:val="nil"/>
          <w:lang w:val="mk-MK" w:bidi="mk-MK"/>
        </w:rPr>
        <w:t xml:space="preserve">а НДТ се сите цврсти, течни или гасовити согорливи материјали, </w:t>
      </w:r>
      <w:r>
        <w:rPr>
          <w:rFonts w:cs="Calibri"/>
          <w:bdr w:val="nil"/>
          <w:lang w:val="mk-MK" w:bidi="mk-MK"/>
        </w:rPr>
        <w:t>меѓу кои</w:t>
      </w:r>
      <w:r w:rsidR="00B16C04">
        <w:rPr>
          <w:rFonts w:cs="Calibri"/>
          <w:bdr w:val="nil"/>
          <w:lang w:val="mk-MK" w:bidi="mk-MK"/>
        </w:rPr>
        <w:t>:</w:t>
      </w:r>
    </w:p>
    <w:p w14:paraId="56297641" w14:textId="77777777" w:rsidR="00B16C23" w:rsidRPr="00623485" w:rsidRDefault="00B16C04" w:rsidP="00B16C23">
      <w:pPr>
        <w:numPr>
          <w:ilvl w:val="0"/>
          <w:numId w:val="3"/>
        </w:numPr>
        <w:spacing w:after="120"/>
        <w:ind w:left="765" w:hanging="357"/>
        <w:rPr>
          <w:lang w:val="mk-MK"/>
        </w:rPr>
      </w:pPr>
      <w:r>
        <w:rPr>
          <w:rFonts w:cs="Calibri"/>
          <w:bdr w:val="nil"/>
          <w:lang w:val="mk-MK" w:bidi="mk-MK"/>
        </w:rPr>
        <w:t>Примарните цврсти горива (црн јаглен, кафен јаглен, лигнит, тресет).</w:t>
      </w:r>
    </w:p>
    <w:p w14:paraId="0FAA6F76" w14:textId="77777777" w:rsidR="00B16C23" w:rsidRPr="00623485" w:rsidRDefault="00B16C04" w:rsidP="00B16C23">
      <w:pPr>
        <w:numPr>
          <w:ilvl w:val="0"/>
          <w:numId w:val="3"/>
        </w:numPr>
        <w:spacing w:after="120"/>
        <w:ind w:left="765" w:hanging="357"/>
        <w:rPr>
          <w:lang w:val="mk-MK"/>
        </w:rPr>
      </w:pPr>
      <w:r>
        <w:rPr>
          <w:rFonts w:cs="Calibri"/>
          <w:bdr w:val="nil"/>
          <w:lang w:val="mk-MK" w:bidi="mk-MK"/>
        </w:rPr>
        <w:t>Биомаса (на пр. дрво, струготини, кора, слама), и дрвен отпад кој не е контаминиран со халогени органски соединенија или метали.</w:t>
      </w:r>
    </w:p>
    <w:p w14:paraId="1882BF29" w14:textId="77777777" w:rsidR="00B16C23" w:rsidRPr="00623485" w:rsidRDefault="00B16C04" w:rsidP="00B16C23">
      <w:pPr>
        <w:numPr>
          <w:ilvl w:val="0"/>
          <w:numId w:val="3"/>
        </w:numPr>
        <w:spacing w:after="120"/>
        <w:ind w:left="765" w:hanging="357"/>
        <w:rPr>
          <w:lang w:val="mk-MK"/>
        </w:rPr>
      </w:pPr>
      <w:r>
        <w:rPr>
          <w:rFonts w:cs="Calibri"/>
          <w:bdr w:val="nil"/>
          <w:lang w:val="mk-MK" w:bidi="mk-MK"/>
        </w:rPr>
        <w:t>Примарни течни горива (тешко и лесно нафтено гориво).</w:t>
      </w:r>
    </w:p>
    <w:p w14:paraId="6AEC51B2" w14:textId="77777777" w:rsidR="00B16C23" w:rsidRPr="00623485" w:rsidRDefault="00B16C04" w:rsidP="00B16C23">
      <w:pPr>
        <w:numPr>
          <w:ilvl w:val="0"/>
          <w:numId w:val="3"/>
        </w:numPr>
        <w:spacing w:after="120"/>
        <w:ind w:left="765" w:hanging="357"/>
        <w:rPr>
          <w:lang w:val="mk-MK"/>
        </w:rPr>
      </w:pPr>
      <w:r>
        <w:rPr>
          <w:rFonts w:cs="Calibri"/>
          <w:bdr w:val="nil"/>
          <w:lang w:val="mk-MK" w:bidi="mk-MK"/>
        </w:rPr>
        <w:t>Гасовити горива (природен гас, гас кој содржи водород и синтетски гас).</w:t>
      </w:r>
    </w:p>
    <w:p w14:paraId="070716A6" w14:textId="5E9C1BA1" w:rsidR="00B16C23" w:rsidRPr="00623485" w:rsidRDefault="00B16C04" w:rsidP="00B16C23">
      <w:pPr>
        <w:numPr>
          <w:ilvl w:val="0"/>
          <w:numId w:val="3"/>
        </w:numPr>
        <w:spacing w:after="120"/>
        <w:ind w:left="765" w:hanging="357"/>
        <w:rPr>
          <w:lang w:val="mk-MK"/>
        </w:rPr>
      </w:pPr>
      <w:r>
        <w:rPr>
          <w:rFonts w:cs="Calibri"/>
          <w:bdr w:val="nil"/>
          <w:lang w:val="mk-MK" w:bidi="mk-MK"/>
        </w:rPr>
        <w:t xml:space="preserve">Други горива специфични за </w:t>
      </w:r>
      <w:r w:rsidR="002E56CE">
        <w:rPr>
          <w:rFonts w:cs="Calibri"/>
          <w:bdr w:val="nil"/>
          <w:lang w:val="mk-MK" w:bidi="mk-MK"/>
        </w:rPr>
        <w:t xml:space="preserve">различни индустрии </w:t>
      </w:r>
      <w:r>
        <w:rPr>
          <w:rFonts w:cs="Calibri"/>
          <w:bdr w:val="nil"/>
          <w:lang w:val="mk-MK" w:bidi="mk-MK"/>
        </w:rPr>
        <w:t xml:space="preserve">(остатоци од производството и нуспроизводи од хемиската или металургиската индустрија). </w:t>
      </w:r>
    </w:p>
    <w:p w14:paraId="35FC90E2" w14:textId="25DCD864" w:rsidR="00B16C23" w:rsidRPr="00623485" w:rsidRDefault="00B16C04" w:rsidP="00B16C23">
      <w:pPr>
        <w:numPr>
          <w:ilvl w:val="0"/>
          <w:numId w:val="3"/>
        </w:numPr>
        <w:spacing w:after="120"/>
        <w:ind w:left="765" w:hanging="357"/>
        <w:rPr>
          <w:lang w:val="mk-MK"/>
        </w:rPr>
      </w:pPr>
      <w:r>
        <w:rPr>
          <w:rFonts w:cs="Calibri"/>
          <w:bdr w:val="nil"/>
          <w:lang w:val="mk-MK" w:bidi="mk-MK"/>
        </w:rPr>
        <w:t>Отпад, без неселектиран</w:t>
      </w:r>
      <w:r w:rsidR="002E56CE">
        <w:rPr>
          <w:rFonts w:cs="Calibri"/>
          <w:bdr w:val="nil"/>
          <w:lang w:val="mk-MK" w:bidi="mk-MK"/>
        </w:rPr>
        <w:t>иот</w:t>
      </w:r>
      <w:r>
        <w:rPr>
          <w:rFonts w:cs="Calibri"/>
          <w:bdr w:val="nil"/>
          <w:lang w:val="mk-MK" w:bidi="mk-MK"/>
        </w:rPr>
        <w:t xml:space="preserve"> комунален отпад. </w:t>
      </w:r>
    </w:p>
    <w:p w14:paraId="354EF8E2" w14:textId="68F5B008" w:rsidR="00B16C23" w:rsidRPr="00623485" w:rsidRDefault="00B16C04" w:rsidP="00B16C23">
      <w:pPr>
        <w:rPr>
          <w:lang w:val="mk-MK"/>
        </w:rPr>
      </w:pPr>
      <w:r>
        <w:rPr>
          <w:rFonts w:cs="Calibri"/>
          <w:bdr w:val="nil"/>
          <w:lang w:val="mk-MK" w:bidi="mk-MK"/>
        </w:rPr>
        <w:t xml:space="preserve">Многу активности не се земени предвид во овој </w:t>
      </w:r>
      <w:r w:rsidR="003528C6">
        <w:rPr>
          <w:rFonts w:cs="Calibri"/>
          <w:bdr w:val="nil"/>
          <w:lang w:val="mk-MK" w:bidi="mk-MK"/>
        </w:rPr>
        <w:t xml:space="preserve">БРЕФ </w:t>
      </w:r>
      <w:r>
        <w:rPr>
          <w:rFonts w:cs="Calibri"/>
          <w:bdr w:val="nil"/>
          <w:lang w:val="mk-MK" w:bidi="mk-MK"/>
        </w:rPr>
        <w:t>(</w:t>
      </w:r>
      <w:r w:rsidR="002E56CE">
        <w:rPr>
          <w:rFonts w:cs="Calibri"/>
          <w:bdr w:val="nil"/>
          <w:lang w:val="mk-MK" w:bidi="mk-MK"/>
        </w:rPr>
        <w:t xml:space="preserve">во </w:t>
      </w:r>
      <w:r>
        <w:rPr>
          <w:rFonts w:cs="Calibri"/>
          <w:bdr w:val="nil"/>
          <w:lang w:val="mk-MK" w:bidi="mk-MK"/>
        </w:rPr>
        <w:t xml:space="preserve">воведот на Поглавје 10 </w:t>
      </w:r>
      <w:r w:rsidR="002E56CE">
        <w:rPr>
          <w:rFonts w:cs="Calibri"/>
          <w:bdr w:val="nil"/>
          <w:lang w:val="mk-MK" w:bidi="mk-MK"/>
        </w:rPr>
        <w:t xml:space="preserve">дадена е </w:t>
      </w:r>
      <w:r>
        <w:rPr>
          <w:rFonts w:cs="Calibri"/>
          <w:bdr w:val="nil"/>
          <w:lang w:val="mk-MK" w:bidi="mk-MK"/>
        </w:rPr>
        <w:t xml:space="preserve">целата листа) </w:t>
      </w:r>
      <w:r w:rsidR="002E56CE">
        <w:rPr>
          <w:rFonts w:cs="Calibri"/>
          <w:bdr w:val="nil"/>
          <w:lang w:val="mk-MK" w:bidi="mk-MK"/>
        </w:rPr>
        <w:t xml:space="preserve">и поради тоа </w:t>
      </w:r>
      <w:r>
        <w:rPr>
          <w:rFonts w:cs="Calibri"/>
          <w:bdr w:val="nil"/>
          <w:lang w:val="mk-MK" w:bidi="mk-MK"/>
        </w:rPr>
        <w:t xml:space="preserve">во овој документ нема НДТ за </w:t>
      </w:r>
      <w:r w:rsidR="002E56CE">
        <w:rPr>
          <w:rFonts w:cs="Calibri"/>
          <w:bdr w:val="nil"/>
          <w:lang w:val="mk-MK" w:bidi="mk-MK"/>
        </w:rPr>
        <w:t>тие активности</w:t>
      </w:r>
      <w:r>
        <w:rPr>
          <w:rFonts w:cs="Calibri"/>
          <w:bdr w:val="nil"/>
          <w:lang w:val="mk-MK" w:bidi="mk-MK"/>
        </w:rPr>
        <w:t xml:space="preserve">.  Така на пр. согорувањето во процесни печки или грејачи, согорувањето на отпадните гасови, согорувањето во конусните фурни и </w:t>
      </w:r>
      <w:r w:rsidR="002E56CE">
        <w:rPr>
          <w:rFonts w:cs="Calibri"/>
          <w:bdr w:val="nil"/>
          <w:lang w:val="mk-MK" w:bidi="mk-MK"/>
        </w:rPr>
        <w:t xml:space="preserve">во </w:t>
      </w:r>
      <w:r>
        <w:rPr>
          <w:rFonts w:cs="Calibri"/>
          <w:bdr w:val="nil"/>
          <w:lang w:val="mk-MK" w:bidi="mk-MK"/>
        </w:rPr>
        <w:t>постројки</w:t>
      </w:r>
      <w:r w:rsidR="002E56CE">
        <w:rPr>
          <w:rFonts w:cs="Calibri"/>
          <w:bdr w:val="nil"/>
          <w:lang w:val="mk-MK" w:bidi="mk-MK"/>
        </w:rPr>
        <w:t>те</w:t>
      </w:r>
      <w:r>
        <w:rPr>
          <w:rFonts w:cs="Calibri"/>
          <w:bdr w:val="nil"/>
          <w:lang w:val="mk-MK" w:bidi="mk-MK"/>
        </w:rPr>
        <w:t xml:space="preserve"> за согорување на остатоците од согорувањето не се земени предвид во </w:t>
      </w:r>
      <w:r w:rsidR="003528C6">
        <w:rPr>
          <w:rFonts w:cs="Calibri"/>
          <w:bdr w:val="nil"/>
          <w:lang w:val="mk-MK" w:bidi="mk-MK"/>
        </w:rPr>
        <w:t xml:space="preserve">БРЕФ </w:t>
      </w:r>
      <w:r>
        <w:rPr>
          <w:rFonts w:cs="Calibri"/>
          <w:bdr w:val="nil"/>
          <w:lang w:val="mk-MK" w:bidi="mk-MK"/>
        </w:rPr>
        <w:t xml:space="preserve">за големи постројки за согорување. </w:t>
      </w:r>
    </w:p>
    <w:p w14:paraId="31AEB438" w14:textId="77777777" w:rsidR="00B16C23" w:rsidRPr="00623485" w:rsidRDefault="00B16C04" w:rsidP="00B16C23">
      <w:pPr>
        <w:pStyle w:val="Heading3"/>
        <w:rPr>
          <w:lang w:val="mk-MK"/>
        </w:rPr>
      </w:pPr>
      <w:bookmarkStart w:id="42" w:name="_Toc444009830"/>
      <w:r>
        <w:rPr>
          <w:rFonts w:eastAsia="Calibri" w:cs="Calibri"/>
          <w:szCs w:val="28"/>
          <w:bdr w:val="nil"/>
          <w:lang w:val="mk-MK" w:bidi="mk-MK"/>
        </w:rPr>
        <w:lastRenderedPageBreak/>
        <w:t>4.1.2. Заклучоци за НДТ за големи постројки за согорување</w:t>
      </w:r>
      <w:bookmarkEnd w:id="42"/>
      <w:r>
        <w:rPr>
          <w:rFonts w:eastAsia="Calibri" w:cs="Calibri"/>
          <w:szCs w:val="28"/>
          <w:bdr w:val="nil"/>
          <w:lang w:val="mk-MK" w:bidi="mk-MK"/>
        </w:rPr>
        <w:t xml:space="preserve"> </w:t>
      </w:r>
    </w:p>
    <w:p w14:paraId="16449213" w14:textId="4CAEB22B" w:rsidR="00B16C23" w:rsidRPr="00623485" w:rsidRDefault="00B16C04" w:rsidP="00B16C23">
      <w:pPr>
        <w:rPr>
          <w:lang w:val="mk-MK"/>
        </w:rPr>
      </w:pPr>
      <w:r>
        <w:rPr>
          <w:rFonts w:cs="Calibri"/>
          <w:b/>
          <w:bCs/>
          <w:bdr w:val="nil"/>
          <w:lang w:val="mk-MK" w:bidi="mk-MK"/>
        </w:rPr>
        <w:t xml:space="preserve">Општите заклучоци за НДТ </w:t>
      </w:r>
      <w:r>
        <w:rPr>
          <w:rFonts w:cs="Calibri"/>
          <w:bdr w:val="nil"/>
          <w:lang w:val="mk-MK" w:bidi="mk-MK"/>
        </w:rPr>
        <w:t xml:space="preserve">го опишуваат Системот за управување со животната средина (Поглавје 10.1.1, НДТ 1) со посебен осврт на големите постројки за согорување, </w:t>
      </w:r>
      <w:r w:rsidR="002E56CE">
        <w:rPr>
          <w:rFonts w:cs="Calibri"/>
          <w:bdr w:val="nil"/>
          <w:lang w:val="mk-MK" w:bidi="mk-MK"/>
        </w:rPr>
        <w:t xml:space="preserve">и тоа </w:t>
      </w:r>
      <w:r>
        <w:rPr>
          <w:rFonts w:cs="Calibri"/>
          <w:bdr w:val="nil"/>
          <w:lang w:val="mk-MK" w:bidi="mk-MK"/>
        </w:rPr>
        <w:t xml:space="preserve">идентификација на ризичните точки за </w:t>
      </w:r>
      <w:r w:rsidR="00560B54">
        <w:rPr>
          <w:rFonts w:cs="Calibri"/>
          <w:bdr w:val="nil"/>
          <w:lang w:val="mk-MK" w:bidi="mk-MK"/>
        </w:rPr>
        <w:t xml:space="preserve">самозапаливите </w:t>
      </w:r>
      <w:r>
        <w:rPr>
          <w:rFonts w:cs="Calibri"/>
          <w:bdr w:val="nil"/>
          <w:lang w:val="mk-MK" w:bidi="mk-MK"/>
        </w:rPr>
        <w:t xml:space="preserve">горива, како и </w:t>
      </w:r>
      <w:r w:rsidR="002E56CE">
        <w:rPr>
          <w:rFonts w:cs="Calibri"/>
          <w:bdr w:val="nil"/>
          <w:lang w:val="mk-MK" w:bidi="mk-MK"/>
        </w:rPr>
        <w:t xml:space="preserve">соодветен преглед на </w:t>
      </w:r>
      <w:r>
        <w:rPr>
          <w:rFonts w:cs="Calibri"/>
          <w:bdr w:val="nil"/>
          <w:lang w:val="mk-MK" w:bidi="mk-MK"/>
        </w:rPr>
        <w:t xml:space="preserve">местата </w:t>
      </w:r>
      <w:r w:rsidR="002E56CE">
        <w:rPr>
          <w:rFonts w:cs="Calibri"/>
          <w:bdr w:val="nil"/>
          <w:lang w:val="mk-MK" w:bidi="mk-MK"/>
        </w:rPr>
        <w:t>н</w:t>
      </w:r>
      <w:r>
        <w:rPr>
          <w:rFonts w:cs="Calibri"/>
          <w:bdr w:val="nil"/>
          <w:lang w:val="mk-MK" w:bidi="mk-MK"/>
        </w:rPr>
        <w:t xml:space="preserve">а кои се чува горивото. </w:t>
      </w:r>
    </w:p>
    <w:p w14:paraId="5FA4B28D" w14:textId="683C90DC" w:rsidR="00B16C23" w:rsidRPr="00623485" w:rsidRDefault="00B16C04" w:rsidP="00B16C23">
      <w:pPr>
        <w:rPr>
          <w:lang w:val="mk-MK"/>
        </w:rPr>
      </w:pPr>
      <w:r>
        <w:rPr>
          <w:rFonts w:cs="Calibri"/>
          <w:bdr w:val="nil"/>
          <w:lang w:val="mk-MK" w:bidi="mk-MK"/>
        </w:rPr>
        <w:t xml:space="preserve">Во Поглавје 10.1.2 дадени се општите НДТ за мониторинг. НДТ 2 дава врска до конкретните обврски за мониторинг </w:t>
      </w:r>
      <w:r w:rsidR="00560B54">
        <w:rPr>
          <w:rFonts w:cs="Calibri"/>
          <w:bdr w:val="nil"/>
          <w:lang w:val="mk-MK" w:bidi="mk-MK"/>
        </w:rPr>
        <w:t xml:space="preserve">а во посебен документ со </w:t>
      </w:r>
      <w:r>
        <w:rPr>
          <w:rFonts w:cs="Calibri"/>
          <w:bdr w:val="nil"/>
          <w:lang w:val="mk-MK" w:bidi="mk-MK"/>
        </w:rPr>
        <w:t xml:space="preserve">НДТ и НДТ 3 </w:t>
      </w:r>
      <w:r w:rsidR="00560B54">
        <w:rPr>
          <w:rFonts w:cs="Calibri"/>
          <w:bdr w:val="nil"/>
          <w:lang w:val="mk-MK" w:bidi="mk-MK"/>
        </w:rPr>
        <w:t xml:space="preserve">опишани се </w:t>
      </w:r>
      <w:r>
        <w:rPr>
          <w:rFonts w:cs="Calibri"/>
          <w:bdr w:val="nil"/>
          <w:lang w:val="mk-MK" w:bidi="mk-MK"/>
        </w:rPr>
        <w:t xml:space="preserve">процесните параметри кои мора да се следат со цел да се обезбеди заштита на природата и добро согорување. </w:t>
      </w:r>
    </w:p>
    <w:p w14:paraId="4C62A848" w14:textId="242C92DF" w:rsidR="00B16C23" w:rsidRPr="00623485" w:rsidRDefault="00B16C04" w:rsidP="00B16C23">
      <w:pPr>
        <w:rPr>
          <w:lang w:val="mk-MK"/>
        </w:rPr>
      </w:pPr>
      <w:r>
        <w:rPr>
          <w:rFonts w:cs="Calibri"/>
          <w:bdr w:val="nil"/>
          <w:lang w:val="mk-MK" w:bidi="mk-MK"/>
        </w:rPr>
        <w:t xml:space="preserve">Покрај ова, во Поглавје 10.1.3 дадени се НДТ за добри еколошки практики и добро согорување (НДТ 4, 5 и 6 се однесуваат на третманот на горивото, изборот </w:t>
      </w:r>
      <w:r w:rsidR="00B16C23">
        <w:rPr>
          <w:rFonts w:cs="Calibri"/>
          <w:bdr w:val="nil"/>
          <w:lang w:val="mk-MK" w:bidi="mk-MK"/>
        </w:rPr>
        <w:t>на горивото и неговото палење, н</w:t>
      </w:r>
      <w:r>
        <w:rPr>
          <w:rFonts w:cs="Calibri"/>
          <w:bdr w:val="nil"/>
          <w:lang w:val="mk-MK" w:bidi="mk-MK"/>
        </w:rPr>
        <w:t>а контрола</w:t>
      </w:r>
      <w:r w:rsidR="00B16C23">
        <w:rPr>
          <w:rFonts w:cs="Calibri"/>
          <w:bdr w:val="nil"/>
          <w:lang w:val="mk-MK" w:bidi="mk-MK"/>
        </w:rPr>
        <w:t>та на квалитетот и н</w:t>
      </w:r>
      <w:r>
        <w:rPr>
          <w:rFonts w:cs="Calibri"/>
          <w:bdr w:val="nil"/>
          <w:lang w:val="mk-MK" w:bidi="mk-MK"/>
        </w:rPr>
        <w:t xml:space="preserve">а скратување на времето за палење и гаснење на печката). </w:t>
      </w:r>
    </w:p>
    <w:p w14:paraId="7FDEC2EB" w14:textId="55B35039" w:rsidR="00B16C23" w:rsidRPr="00623485" w:rsidRDefault="00B16C04" w:rsidP="00B16C23">
      <w:pPr>
        <w:rPr>
          <w:lang w:val="mk-MK"/>
        </w:rPr>
      </w:pPr>
      <w:r>
        <w:rPr>
          <w:rFonts w:cs="Calibri"/>
          <w:bdr w:val="nil"/>
          <w:lang w:val="mk-MK" w:bidi="mk-MK"/>
        </w:rPr>
        <w:t>Во Поглавје 10.1.5, од НДТ 7, опишани се неколку техники со кои може да се зголеми енергетската ефикасност на постројките за согорување.   Меѓу другите техники дадени се и употре</w:t>
      </w:r>
      <w:r w:rsidR="00914927">
        <w:rPr>
          <w:rFonts w:cs="Calibri"/>
          <w:bdr w:val="nil"/>
          <w:lang w:val="mk-MK" w:bidi="mk-MK"/>
        </w:rPr>
        <w:t>НДТ</w:t>
      </w:r>
      <w:r>
        <w:rPr>
          <w:rFonts w:cs="Calibri"/>
          <w:bdr w:val="nil"/>
          <w:lang w:val="mk-MK" w:bidi="mk-MK"/>
        </w:rPr>
        <w:t xml:space="preserve">а на ултра суперкритични </w:t>
      </w:r>
      <w:r w:rsidR="00B16C23">
        <w:rPr>
          <w:rFonts w:cs="Calibri"/>
          <w:bdr w:val="nil"/>
          <w:lang w:val="mk-MK" w:bidi="mk-MK"/>
        </w:rPr>
        <w:t>и суперкритични парни услови, о</w:t>
      </w:r>
      <w:r>
        <w:rPr>
          <w:rFonts w:cs="Calibri"/>
          <w:bdr w:val="nil"/>
          <w:lang w:val="mk-MK" w:bidi="mk-MK"/>
        </w:rPr>
        <w:t>п</w:t>
      </w:r>
      <w:r w:rsidR="00B16C23">
        <w:rPr>
          <w:rFonts w:cs="Calibri"/>
          <w:bdr w:val="nil"/>
          <w:lang w:val="mk-MK" w:bidi="mk-MK"/>
        </w:rPr>
        <w:t>т</w:t>
      </w:r>
      <w:r>
        <w:rPr>
          <w:rFonts w:cs="Calibri"/>
          <w:bdr w:val="nil"/>
          <w:lang w:val="mk-MK" w:bidi="mk-MK"/>
        </w:rPr>
        <w:t xml:space="preserve">имизација на парниот циклус, искористување на топлина при когенерација, претходно загревање на воздухот за согорување итн. </w:t>
      </w:r>
    </w:p>
    <w:p w14:paraId="1FE8BFBD" w14:textId="77777777" w:rsidR="00B16C23" w:rsidRPr="00623485" w:rsidRDefault="00B16C04" w:rsidP="00B16C23">
      <w:pPr>
        <w:rPr>
          <w:lang w:val="mk-MK"/>
        </w:rPr>
      </w:pPr>
      <w:r>
        <w:rPr>
          <w:rFonts w:cs="Calibri"/>
          <w:bdr w:val="nil"/>
          <w:lang w:val="mk-MK" w:bidi="mk-MK"/>
        </w:rPr>
        <w:t xml:space="preserve">Во Поглавје 10.1.5 дадени се НДТ за спречување на дифузни емисии од истоварање, чување и ракување со горивото и адитивите (НДТ 8 за запечатување на кровови, користење на системи за затворен циклус) и НДТ 9 (зафаќање на емисиите). </w:t>
      </w:r>
    </w:p>
    <w:p w14:paraId="3F106DA2" w14:textId="7A3A14CC" w:rsidR="00B16C23" w:rsidRPr="00623485" w:rsidRDefault="00B16C04" w:rsidP="00B16C23">
      <w:pPr>
        <w:rPr>
          <w:lang w:val="mk-MK"/>
        </w:rPr>
      </w:pPr>
      <w:r>
        <w:rPr>
          <w:rFonts w:cs="Calibri"/>
          <w:bdr w:val="nil"/>
          <w:lang w:val="mk-MK" w:bidi="mk-MK"/>
        </w:rPr>
        <w:t>Во Поглавјето 10.1.6 опишани се НДТ за намалување на употре</w:t>
      </w:r>
      <w:r w:rsidR="00914927">
        <w:rPr>
          <w:rFonts w:cs="Calibri"/>
          <w:bdr w:val="nil"/>
          <w:lang w:val="mk-MK" w:bidi="mk-MK"/>
        </w:rPr>
        <w:t>НДТ</w:t>
      </w:r>
      <w:r>
        <w:rPr>
          <w:rFonts w:cs="Calibri"/>
          <w:bdr w:val="nil"/>
          <w:lang w:val="mk-MK" w:bidi="mk-MK"/>
        </w:rPr>
        <w:t>а на вода и намалување на емисиите на загадувачки матери</w:t>
      </w:r>
      <w:r w:rsidR="00B16C23">
        <w:rPr>
          <w:rFonts w:cs="Calibri"/>
          <w:bdr w:val="nil"/>
          <w:lang w:val="mk-MK" w:bidi="mk-MK"/>
        </w:rPr>
        <w:t>и во отпадните води</w:t>
      </w:r>
      <w:r>
        <w:rPr>
          <w:rFonts w:cs="Calibri"/>
          <w:bdr w:val="nil"/>
          <w:lang w:val="mk-MK" w:bidi="mk-MK"/>
        </w:rPr>
        <w:t xml:space="preserve"> (НДТ 10 и 11). Овде станува збор за емисиите во водата од инсталациите за согорување кои имаат техники за водено намалување на емисиите на загаду</w:t>
      </w:r>
      <w:r w:rsidR="007E4A7A">
        <w:rPr>
          <w:rFonts w:cs="Calibri"/>
          <w:bdr w:val="nil"/>
          <w:lang w:val="mk-MK" w:bidi="mk-MK"/>
        </w:rPr>
        <w:t>вачки материи во воздухот.  Во т</w:t>
      </w:r>
      <w:r>
        <w:rPr>
          <w:rFonts w:cs="Calibri"/>
          <w:bdr w:val="nil"/>
          <w:lang w:val="mk-MK" w:bidi="mk-MK"/>
        </w:rPr>
        <w:t xml:space="preserve">абела 10.1 дадени се нивоата на емисии при НДТ  во водата од инсталациите за согорување кои имаат техники за водено намалување на емисиите на загадувачки материи во воздухот.  </w:t>
      </w:r>
    </w:p>
    <w:p w14:paraId="744AADA0" w14:textId="022D713C" w:rsidR="00B16C23" w:rsidRPr="00623485" w:rsidRDefault="00B16C04" w:rsidP="00B16C23">
      <w:pPr>
        <w:rPr>
          <w:lang w:val="mk-MK"/>
        </w:rPr>
      </w:pPr>
      <w:r w:rsidRPr="00B16C23">
        <w:rPr>
          <w:rFonts w:cs="Calibri"/>
          <w:b/>
          <w:bdr w:val="nil"/>
          <w:lang w:val="mk-MK" w:bidi="mk-MK"/>
        </w:rPr>
        <w:t>За</w:t>
      </w:r>
      <w:r>
        <w:rPr>
          <w:rFonts w:cs="Calibri"/>
          <w:bdr w:val="nil"/>
          <w:lang w:val="mk-MK" w:bidi="mk-MK"/>
        </w:rPr>
        <w:t xml:space="preserve"> </w:t>
      </w:r>
      <w:r>
        <w:rPr>
          <w:rFonts w:cs="Calibri"/>
          <w:b/>
          <w:bCs/>
          <w:bdr w:val="nil"/>
          <w:lang w:val="mk-MK" w:bidi="mk-MK"/>
        </w:rPr>
        <w:t xml:space="preserve">целосна листа на НДТ во Заклучоците за НДТ </w:t>
      </w:r>
      <w:r w:rsidR="00B16C23">
        <w:rPr>
          <w:rFonts w:cs="Calibri"/>
          <w:b/>
          <w:bCs/>
          <w:bdr w:val="nil"/>
          <w:lang w:val="mk-MK" w:bidi="mk-MK"/>
        </w:rPr>
        <w:t xml:space="preserve">за </w:t>
      </w:r>
      <w:r>
        <w:rPr>
          <w:rFonts w:cs="Calibri"/>
          <w:b/>
          <w:bCs/>
          <w:bdr w:val="nil"/>
          <w:lang w:val="mk-MK" w:bidi="mk-MK"/>
        </w:rPr>
        <w:t>големи постројки за согорување видете ги упатувањата во Анекс 1</w:t>
      </w:r>
      <w:r>
        <w:rPr>
          <w:rFonts w:cs="Calibri"/>
          <w:bdr w:val="nil"/>
          <w:lang w:val="mk-MK" w:bidi="mk-MK"/>
        </w:rPr>
        <w:t xml:space="preserve">. </w:t>
      </w:r>
    </w:p>
    <w:p w14:paraId="6FF3C1CB" w14:textId="77777777" w:rsidR="00B16C23" w:rsidRPr="003358EE" w:rsidRDefault="00B16C23" w:rsidP="005748BE">
      <w:pPr>
        <w:pStyle w:val="ListParagraph"/>
        <w:keepNext/>
        <w:numPr>
          <w:ilvl w:val="0"/>
          <w:numId w:val="5"/>
        </w:numPr>
        <w:spacing w:before="240" w:after="60" w:line="276" w:lineRule="auto"/>
        <w:contextualSpacing w:val="0"/>
        <w:jc w:val="both"/>
        <w:outlineLvl w:val="1"/>
        <w:rPr>
          <w:rFonts w:eastAsia="Times New Roman"/>
          <w:b/>
          <w:bCs/>
          <w:i/>
          <w:iCs/>
          <w:vanish/>
          <w:color w:val="1F4E79"/>
          <w:sz w:val="32"/>
          <w:szCs w:val="28"/>
          <w:lang w:val="ro-RO"/>
        </w:rPr>
      </w:pPr>
      <w:bookmarkStart w:id="43" w:name="_Toc429394552"/>
      <w:bookmarkStart w:id="44" w:name="_Toc429394967"/>
      <w:bookmarkStart w:id="45" w:name="_Toc429501984"/>
      <w:bookmarkStart w:id="46" w:name="_Toc438141033"/>
      <w:bookmarkStart w:id="47" w:name="_Toc438142929"/>
      <w:bookmarkStart w:id="48" w:name="_Toc438216274"/>
      <w:bookmarkStart w:id="49" w:name="_Toc440476969"/>
      <w:bookmarkStart w:id="50" w:name="_Toc440899871"/>
      <w:bookmarkStart w:id="51" w:name="_Toc440978653"/>
      <w:bookmarkStart w:id="52" w:name="_Toc444009831"/>
      <w:bookmarkEnd w:id="43"/>
      <w:bookmarkEnd w:id="44"/>
      <w:bookmarkEnd w:id="45"/>
      <w:bookmarkEnd w:id="46"/>
      <w:bookmarkEnd w:id="47"/>
      <w:bookmarkEnd w:id="48"/>
      <w:bookmarkEnd w:id="49"/>
      <w:bookmarkEnd w:id="50"/>
      <w:bookmarkEnd w:id="51"/>
      <w:bookmarkEnd w:id="52"/>
    </w:p>
    <w:p w14:paraId="755E6D86" w14:textId="77777777" w:rsidR="00B16C23" w:rsidRPr="003358EE" w:rsidRDefault="00B16C23" w:rsidP="005748BE">
      <w:pPr>
        <w:pStyle w:val="ListParagraph"/>
        <w:keepNext/>
        <w:numPr>
          <w:ilvl w:val="0"/>
          <w:numId w:val="5"/>
        </w:numPr>
        <w:spacing w:before="240" w:after="60" w:line="276" w:lineRule="auto"/>
        <w:contextualSpacing w:val="0"/>
        <w:jc w:val="both"/>
        <w:outlineLvl w:val="1"/>
        <w:rPr>
          <w:rFonts w:eastAsia="Times New Roman"/>
          <w:b/>
          <w:bCs/>
          <w:i/>
          <w:iCs/>
          <w:vanish/>
          <w:color w:val="1F4E79"/>
          <w:sz w:val="32"/>
          <w:szCs w:val="28"/>
          <w:lang w:val="ro-RO"/>
        </w:rPr>
      </w:pPr>
      <w:bookmarkStart w:id="53" w:name="_Toc438141034"/>
      <w:bookmarkStart w:id="54" w:name="_Toc438142930"/>
      <w:bookmarkStart w:id="55" w:name="_Toc438216275"/>
      <w:bookmarkStart w:id="56" w:name="_Toc440476970"/>
      <w:bookmarkStart w:id="57" w:name="_Toc440899872"/>
      <w:bookmarkStart w:id="58" w:name="_Toc440978654"/>
      <w:bookmarkStart w:id="59" w:name="_Toc444009832"/>
      <w:bookmarkEnd w:id="53"/>
      <w:bookmarkEnd w:id="54"/>
      <w:bookmarkEnd w:id="55"/>
      <w:bookmarkEnd w:id="56"/>
      <w:bookmarkEnd w:id="57"/>
      <w:bookmarkEnd w:id="58"/>
      <w:bookmarkEnd w:id="59"/>
    </w:p>
    <w:p w14:paraId="429C935C" w14:textId="77777777" w:rsidR="00B16C23" w:rsidRPr="003358EE" w:rsidRDefault="00B16C23" w:rsidP="005748BE">
      <w:pPr>
        <w:pStyle w:val="ListParagraph"/>
        <w:keepNext/>
        <w:numPr>
          <w:ilvl w:val="0"/>
          <w:numId w:val="5"/>
        </w:numPr>
        <w:spacing w:before="240" w:after="60" w:line="276" w:lineRule="auto"/>
        <w:contextualSpacing w:val="0"/>
        <w:jc w:val="both"/>
        <w:outlineLvl w:val="1"/>
        <w:rPr>
          <w:rFonts w:eastAsia="Times New Roman"/>
          <w:b/>
          <w:bCs/>
          <w:i/>
          <w:iCs/>
          <w:vanish/>
          <w:color w:val="1F4E79"/>
          <w:sz w:val="32"/>
          <w:szCs w:val="28"/>
          <w:lang w:val="ro-RO"/>
        </w:rPr>
      </w:pPr>
      <w:bookmarkStart w:id="60" w:name="_Toc438141035"/>
      <w:bookmarkStart w:id="61" w:name="_Toc438142931"/>
      <w:bookmarkStart w:id="62" w:name="_Toc438216276"/>
      <w:bookmarkStart w:id="63" w:name="_Toc440476971"/>
      <w:bookmarkStart w:id="64" w:name="_Toc440899873"/>
      <w:bookmarkStart w:id="65" w:name="_Toc440978655"/>
      <w:bookmarkStart w:id="66" w:name="_Toc444009833"/>
      <w:bookmarkEnd w:id="60"/>
      <w:bookmarkEnd w:id="61"/>
      <w:bookmarkEnd w:id="62"/>
      <w:bookmarkEnd w:id="63"/>
      <w:bookmarkEnd w:id="64"/>
      <w:bookmarkEnd w:id="65"/>
      <w:bookmarkEnd w:id="66"/>
    </w:p>
    <w:p w14:paraId="0BCDF6A2" w14:textId="77777777" w:rsidR="00B16C23" w:rsidRPr="003358EE" w:rsidRDefault="00B16C23" w:rsidP="005748BE">
      <w:pPr>
        <w:pStyle w:val="ListParagraph"/>
        <w:keepNext/>
        <w:numPr>
          <w:ilvl w:val="0"/>
          <w:numId w:val="5"/>
        </w:numPr>
        <w:spacing w:before="240" w:after="60" w:line="276" w:lineRule="auto"/>
        <w:contextualSpacing w:val="0"/>
        <w:jc w:val="both"/>
        <w:outlineLvl w:val="1"/>
        <w:rPr>
          <w:rFonts w:eastAsia="Times New Roman"/>
          <w:b/>
          <w:bCs/>
          <w:i/>
          <w:iCs/>
          <w:vanish/>
          <w:color w:val="1F4E79"/>
          <w:sz w:val="32"/>
          <w:szCs w:val="28"/>
          <w:lang w:val="ro-RO"/>
        </w:rPr>
      </w:pPr>
      <w:bookmarkStart w:id="67" w:name="_Toc438141036"/>
      <w:bookmarkStart w:id="68" w:name="_Toc438142932"/>
      <w:bookmarkStart w:id="69" w:name="_Toc438216277"/>
      <w:bookmarkStart w:id="70" w:name="_Toc440476972"/>
      <w:bookmarkStart w:id="71" w:name="_Toc440899874"/>
      <w:bookmarkStart w:id="72" w:name="_Toc440978656"/>
      <w:bookmarkStart w:id="73" w:name="_Toc444009834"/>
      <w:bookmarkEnd w:id="67"/>
      <w:bookmarkEnd w:id="68"/>
      <w:bookmarkEnd w:id="69"/>
      <w:bookmarkEnd w:id="70"/>
      <w:bookmarkEnd w:id="71"/>
      <w:bookmarkEnd w:id="72"/>
      <w:bookmarkEnd w:id="73"/>
    </w:p>
    <w:p w14:paraId="777B5FE4" w14:textId="77777777" w:rsidR="00B16C23" w:rsidRPr="003358EE" w:rsidRDefault="00B16C23" w:rsidP="005748BE">
      <w:pPr>
        <w:pStyle w:val="ListParagraph"/>
        <w:keepNext/>
        <w:numPr>
          <w:ilvl w:val="1"/>
          <w:numId w:val="5"/>
        </w:numPr>
        <w:spacing w:before="240" w:after="60" w:line="276" w:lineRule="auto"/>
        <w:contextualSpacing w:val="0"/>
        <w:jc w:val="both"/>
        <w:outlineLvl w:val="1"/>
        <w:rPr>
          <w:rFonts w:eastAsia="Times New Roman"/>
          <w:b/>
          <w:bCs/>
          <w:i/>
          <w:iCs/>
          <w:vanish/>
          <w:color w:val="1F4E79"/>
          <w:sz w:val="32"/>
          <w:szCs w:val="28"/>
          <w:lang w:val="ro-RO"/>
        </w:rPr>
      </w:pPr>
      <w:bookmarkStart w:id="74" w:name="_Toc438141037"/>
      <w:bookmarkStart w:id="75" w:name="_Toc438142933"/>
      <w:bookmarkStart w:id="76" w:name="_Toc438216278"/>
      <w:bookmarkStart w:id="77" w:name="_Toc440476973"/>
      <w:bookmarkStart w:id="78" w:name="_Toc440899875"/>
      <w:bookmarkStart w:id="79" w:name="_Toc440978657"/>
      <w:bookmarkStart w:id="80" w:name="_Toc444009835"/>
      <w:bookmarkEnd w:id="74"/>
      <w:bookmarkEnd w:id="75"/>
      <w:bookmarkEnd w:id="76"/>
      <w:bookmarkEnd w:id="77"/>
      <w:bookmarkEnd w:id="78"/>
      <w:bookmarkEnd w:id="79"/>
      <w:bookmarkEnd w:id="80"/>
    </w:p>
    <w:p w14:paraId="531AB320" w14:textId="77777777" w:rsidR="00B16C23" w:rsidRDefault="00B16C04" w:rsidP="005748BE">
      <w:pPr>
        <w:pStyle w:val="Heading2"/>
        <w:numPr>
          <w:ilvl w:val="1"/>
          <w:numId w:val="5"/>
        </w:numPr>
        <w:rPr>
          <w:lang w:val="ro-RO"/>
        </w:rPr>
      </w:pPr>
      <w:bookmarkStart w:id="81" w:name="_Toc444009836"/>
      <w:r>
        <w:rPr>
          <w:rFonts w:eastAsia="Calibri" w:cs="Calibri"/>
          <w:szCs w:val="32"/>
          <w:bdr w:val="nil"/>
          <w:lang w:val="mk-MK" w:bidi="mk-MK"/>
        </w:rPr>
        <w:t>Воздух</w:t>
      </w:r>
      <w:bookmarkEnd w:id="81"/>
      <w:r>
        <w:rPr>
          <w:rFonts w:eastAsia="Calibri" w:cs="Calibri"/>
          <w:szCs w:val="32"/>
          <w:bdr w:val="nil"/>
          <w:lang w:val="mk-MK" w:bidi="mk-MK"/>
        </w:rPr>
        <w:t xml:space="preserve"> </w:t>
      </w:r>
    </w:p>
    <w:p w14:paraId="4256B1DC" w14:textId="346F03F0" w:rsidR="00B16C23" w:rsidRDefault="00B16C04" w:rsidP="005748BE">
      <w:pPr>
        <w:pStyle w:val="Heading3"/>
        <w:numPr>
          <w:ilvl w:val="2"/>
          <w:numId w:val="5"/>
        </w:numPr>
        <w:rPr>
          <w:lang w:val="ro-RO"/>
        </w:rPr>
      </w:pPr>
      <w:bookmarkStart w:id="82" w:name="_Toc444009837"/>
      <w:r>
        <w:rPr>
          <w:rFonts w:eastAsia="Calibri" w:cs="Calibri"/>
          <w:szCs w:val="28"/>
          <w:bdr w:val="nil"/>
          <w:lang w:val="mk-MK" w:bidi="mk-MK"/>
        </w:rPr>
        <w:t>Загадувачки материи: SOx</w:t>
      </w:r>
      <w:r w:rsidR="00B16C23">
        <w:rPr>
          <w:rFonts w:eastAsia="Calibri" w:cs="Calibri"/>
          <w:szCs w:val="28"/>
          <w:bdr w:val="nil"/>
          <w:lang w:val="mk-MK" w:bidi="mk-MK"/>
        </w:rPr>
        <w:t xml:space="preserve"> (сулфурни оксиди)</w:t>
      </w:r>
      <w:r>
        <w:rPr>
          <w:rFonts w:eastAsia="Calibri" w:cs="Calibri"/>
          <w:szCs w:val="28"/>
          <w:bdr w:val="nil"/>
          <w:lang w:val="mk-MK" w:bidi="mk-MK"/>
        </w:rPr>
        <w:t>, NOx</w:t>
      </w:r>
      <w:r w:rsidR="00B16C23">
        <w:rPr>
          <w:rFonts w:eastAsia="Calibri" w:cs="Calibri"/>
          <w:szCs w:val="28"/>
          <w:bdr w:val="nil"/>
          <w:lang w:val="mk-MK" w:bidi="mk-MK"/>
        </w:rPr>
        <w:t xml:space="preserve"> (азотни оксиди)</w:t>
      </w:r>
      <w:r>
        <w:rPr>
          <w:rFonts w:eastAsia="Calibri" w:cs="Calibri"/>
          <w:szCs w:val="28"/>
          <w:bdr w:val="nil"/>
          <w:lang w:val="mk-MK" w:bidi="mk-MK"/>
        </w:rPr>
        <w:t>, CO</w:t>
      </w:r>
      <w:r w:rsidR="00B16C23">
        <w:rPr>
          <w:rFonts w:eastAsia="Calibri" w:cs="Calibri"/>
          <w:szCs w:val="28"/>
          <w:bdr w:val="nil"/>
          <w:lang w:val="mk-MK" w:bidi="mk-MK"/>
        </w:rPr>
        <w:t xml:space="preserve"> (јаглерод моноксид)</w:t>
      </w:r>
      <w:r>
        <w:rPr>
          <w:rFonts w:eastAsia="Calibri" w:cs="Calibri"/>
          <w:szCs w:val="28"/>
          <w:bdr w:val="nil"/>
          <w:lang w:val="mk-MK" w:bidi="mk-MK"/>
        </w:rPr>
        <w:t>, NH3</w:t>
      </w:r>
      <w:r w:rsidR="00B16C23">
        <w:rPr>
          <w:rFonts w:eastAsia="Calibri" w:cs="Calibri"/>
          <w:szCs w:val="28"/>
          <w:bdr w:val="nil"/>
          <w:lang w:val="mk-MK" w:bidi="mk-MK"/>
        </w:rPr>
        <w:t xml:space="preserve"> (амон</w:t>
      </w:r>
      <w:r w:rsidR="003528C6">
        <w:rPr>
          <w:rFonts w:eastAsia="Calibri" w:cs="Calibri"/>
          <w:szCs w:val="28"/>
          <w:bdr w:val="nil"/>
          <w:lang w:val="mk-MK" w:bidi="mk-MK"/>
        </w:rPr>
        <w:t>и</w:t>
      </w:r>
      <w:r w:rsidR="00B16C23">
        <w:rPr>
          <w:rFonts w:eastAsia="Calibri" w:cs="Calibri"/>
          <w:szCs w:val="28"/>
          <w:bdr w:val="nil"/>
          <w:lang w:val="mk-MK" w:bidi="mk-MK"/>
        </w:rPr>
        <w:t>јак)</w:t>
      </w:r>
      <w:r>
        <w:rPr>
          <w:rFonts w:eastAsia="Calibri" w:cs="Calibri"/>
          <w:szCs w:val="28"/>
          <w:bdr w:val="nil"/>
          <w:lang w:val="mk-MK" w:bidi="mk-MK"/>
        </w:rPr>
        <w:t>, HCl</w:t>
      </w:r>
      <w:r w:rsidR="00B16C23">
        <w:rPr>
          <w:rFonts w:eastAsia="Calibri" w:cs="Calibri"/>
          <w:szCs w:val="28"/>
          <w:bdr w:val="nil"/>
          <w:lang w:val="mk-MK" w:bidi="mk-MK"/>
        </w:rPr>
        <w:t xml:space="preserve"> (хлороводород)</w:t>
      </w:r>
      <w:r>
        <w:rPr>
          <w:rFonts w:eastAsia="Calibri" w:cs="Calibri"/>
          <w:szCs w:val="28"/>
          <w:bdr w:val="nil"/>
          <w:lang w:val="mk-MK" w:bidi="mk-MK"/>
        </w:rPr>
        <w:t>, HF</w:t>
      </w:r>
      <w:r w:rsidR="00B16C23">
        <w:rPr>
          <w:rFonts w:eastAsia="Calibri" w:cs="Calibri"/>
          <w:szCs w:val="28"/>
          <w:bdr w:val="nil"/>
          <w:lang w:val="mk-MK" w:bidi="mk-MK"/>
        </w:rPr>
        <w:t xml:space="preserve"> (флуороводород)</w:t>
      </w:r>
      <w:r>
        <w:rPr>
          <w:rFonts w:eastAsia="Calibri" w:cs="Calibri"/>
          <w:szCs w:val="28"/>
          <w:bdr w:val="nil"/>
          <w:lang w:val="mk-MK" w:bidi="mk-MK"/>
        </w:rPr>
        <w:t>, прашина, метали врзани за честичките и емисии на жива во воздухот</w:t>
      </w:r>
      <w:bookmarkEnd w:id="82"/>
      <w:r>
        <w:rPr>
          <w:rFonts w:eastAsia="Calibri" w:cs="Calibri"/>
          <w:szCs w:val="28"/>
          <w:bdr w:val="nil"/>
          <w:lang w:val="mk-MK" w:bidi="mk-MK"/>
        </w:rPr>
        <w:t xml:space="preserve"> </w:t>
      </w:r>
    </w:p>
    <w:p w14:paraId="12F21998" w14:textId="1F0B133D" w:rsidR="00B16C23" w:rsidRDefault="00B16C04" w:rsidP="00B16C23">
      <w:pPr>
        <w:rPr>
          <w:lang w:val="ro-RO"/>
        </w:rPr>
      </w:pPr>
      <w:r>
        <w:rPr>
          <w:rFonts w:cs="Calibri"/>
          <w:bdr w:val="nil"/>
          <w:lang w:val="mk-MK" w:bidi="mk-MK"/>
        </w:rPr>
        <w:t xml:space="preserve">Најважните емисии во воздухот од согорувањето цврсти и течни фосилни горива се SOx, NOx, CO, CO2 и суспендираните честички. Тешките метали може да се врзат </w:t>
      </w:r>
      <w:r w:rsidR="00B16C23">
        <w:rPr>
          <w:rFonts w:cs="Calibri"/>
          <w:bdr w:val="nil"/>
          <w:lang w:val="mk-MK" w:bidi="mk-MK"/>
        </w:rPr>
        <w:t>за</w:t>
      </w:r>
      <w:r>
        <w:rPr>
          <w:rFonts w:cs="Calibri"/>
          <w:bdr w:val="nil"/>
          <w:lang w:val="mk-MK" w:bidi="mk-MK"/>
        </w:rPr>
        <w:t xml:space="preserve"> суспендираните честички и </w:t>
      </w:r>
      <w:r w:rsidR="00B16C23">
        <w:rPr>
          <w:rFonts w:cs="Calibri"/>
          <w:bdr w:val="nil"/>
          <w:lang w:val="mk-MK" w:bidi="mk-MK"/>
        </w:rPr>
        <w:t xml:space="preserve">за </w:t>
      </w:r>
      <w:r>
        <w:rPr>
          <w:rFonts w:cs="Calibri"/>
          <w:bdr w:val="nil"/>
          <w:lang w:val="mk-MK" w:bidi="mk-MK"/>
        </w:rPr>
        <w:t xml:space="preserve">издувниот пепел, со исклучок на живата, која најчесто се емитува како гас.  Супстанциите како </w:t>
      </w:r>
      <w:r w:rsidR="00B16C23">
        <w:rPr>
          <w:rFonts w:cs="Calibri"/>
          <w:bdr w:val="nil"/>
          <w:lang w:val="mk-MK" w:bidi="mk-MK"/>
        </w:rPr>
        <w:t>хлороводород</w:t>
      </w:r>
      <w:r>
        <w:rPr>
          <w:rFonts w:cs="Calibri"/>
          <w:bdr w:val="nil"/>
          <w:lang w:val="mk-MK" w:bidi="mk-MK"/>
        </w:rPr>
        <w:t xml:space="preserve">, </w:t>
      </w:r>
      <w:r w:rsidR="00B16C23">
        <w:rPr>
          <w:rFonts w:cs="Calibri"/>
          <w:bdr w:val="nil"/>
          <w:lang w:val="mk-MK" w:bidi="mk-MK"/>
        </w:rPr>
        <w:t>флуоро</w:t>
      </w:r>
      <w:r>
        <w:rPr>
          <w:rFonts w:cs="Calibri"/>
          <w:bdr w:val="nil"/>
          <w:lang w:val="mk-MK" w:bidi="mk-MK"/>
        </w:rPr>
        <w:t>водород, несогорени</w:t>
      </w:r>
      <w:r w:rsidR="00B16C23">
        <w:rPr>
          <w:rFonts w:cs="Calibri"/>
          <w:bdr w:val="nil"/>
          <w:lang w:val="mk-MK" w:bidi="mk-MK"/>
        </w:rPr>
        <w:t>те</w:t>
      </w:r>
      <w:r>
        <w:rPr>
          <w:rFonts w:cs="Calibri"/>
          <w:bdr w:val="nil"/>
          <w:lang w:val="mk-MK" w:bidi="mk-MK"/>
        </w:rPr>
        <w:t xml:space="preserve"> јаглеводороди, неметал</w:t>
      </w:r>
      <w:r w:rsidR="00B16C23">
        <w:rPr>
          <w:rFonts w:cs="Calibri"/>
          <w:bdr w:val="nil"/>
          <w:lang w:val="mk-MK" w:bidi="mk-MK"/>
        </w:rPr>
        <w:t xml:space="preserve">ните </w:t>
      </w:r>
      <w:r>
        <w:rPr>
          <w:rFonts w:cs="Calibri"/>
          <w:bdr w:val="nil"/>
          <w:lang w:val="mk-MK" w:bidi="mk-MK"/>
        </w:rPr>
        <w:t>и</w:t>
      </w:r>
      <w:r w:rsidR="00B16C23">
        <w:rPr>
          <w:rFonts w:cs="Calibri"/>
          <w:bdr w:val="nil"/>
          <w:lang w:val="mk-MK" w:bidi="mk-MK"/>
        </w:rPr>
        <w:t>спарливи органски супстанции и н</w:t>
      </w:r>
      <w:r>
        <w:rPr>
          <w:rFonts w:cs="Calibri"/>
          <w:bdr w:val="nil"/>
          <w:lang w:val="mk-MK" w:bidi="mk-MK"/>
        </w:rPr>
        <w:t>еразградливи</w:t>
      </w:r>
      <w:r w:rsidR="00B16C23">
        <w:rPr>
          <w:rFonts w:cs="Calibri"/>
          <w:bdr w:val="nil"/>
          <w:lang w:val="mk-MK" w:bidi="mk-MK"/>
        </w:rPr>
        <w:t>те</w:t>
      </w:r>
      <w:r>
        <w:rPr>
          <w:rFonts w:cs="Calibri"/>
          <w:bdr w:val="nil"/>
          <w:lang w:val="mk-MK" w:bidi="mk-MK"/>
        </w:rPr>
        <w:t xml:space="preserve"> органски загадувачи како што се полицикличните ароматски јаглеводороди и диоскини се емитуваат во помали количества, но ако не се намалат може значително </w:t>
      </w:r>
      <w:r w:rsidR="00B16C23">
        <w:rPr>
          <w:rFonts w:cs="Calibri"/>
          <w:bdr w:val="nil"/>
          <w:lang w:val="mk-MK" w:bidi="mk-MK"/>
        </w:rPr>
        <w:t xml:space="preserve">да </w:t>
      </w:r>
      <w:r>
        <w:rPr>
          <w:rFonts w:cs="Calibri"/>
          <w:bdr w:val="nil"/>
          <w:lang w:val="mk-MK" w:bidi="mk-MK"/>
        </w:rPr>
        <w:t>влија</w:t>
      </w:r>
      <w:r w:rsidR="00B16C23">
        <w:rPr>
          <w:rFonts w:cs="Calibri"/>
          <w:bdr w:val="nil"/>
          <w:lang w:val="mk-MK" w:bidi="mk-MK"/>
        </w:rPr>
        <w:t>ат</w:t>
      </w:r>
      <w:r>
        <w:rPr>
          <w:rFonts w:cs="Calibri"/>
          <w:bdr w:val="nil"/>
          <w:lang w:val="mk-MK" w:bidi="mk-MK"/>
        </w:rPr>
        <w:t xml:space="preserve"> врз </w:t>
      </w:r>
      <w:r w:rsidR="00B16C23">
        <w:rPr>
          <w:rFonts w:cs="Calibri"/>
          <w:bdr w:val="nil"/>
          <w:lang w:val="mk-MK" w:bidi="mk-MK"/>
        </w:rPr>
        <w:t xml:space="preserve">квалитетот на </w:t>
      </w:r>
      <w:r>
        <w:rPr>
          <w:rFonts w:cs="Calibri"/>
          <w:bdr w:val="nil"/>
          <w:lang w:val="mk-MK" w:bidi="mk-MK"/>
        </w:rPr>
        <w:t xml:space="preserve">животната средина поради нивната токсичност.   </w:t>
      </w:r>
      <w:r w:rsidR="00B16C23">
        <w:rPr>
          <w:rFonts w:cs="Calibri"/>
          <w:bdr w:val="nil"/>
          <w:lang w:val="mk-MK" w:bidi="mk-MK"/>
        </w:rPr>
        <w:t>П</w:t>
      </w:r>
      <w:r>
        <w:rPr>
          <w:rFonts w:cs="Calibri"/>
          <w:bdr w:val="nil"/>
          <w:lang w:val="mk-MK" w:bidi="mk-MK"/>
        </w:rPr>
        <w:t xml:space="preserve">остројките за согорување на гас емитуваат само NOx, CO, CO2 и малку несогорен метан. Другите </w:t>
      </w:r>
      <w:r w:rsidR="00B16C23">
        <w:rPr>
          <w:rFonts w:cs="Calibri"/>
          <w:bdr w:val="nil"/>
          <w:lang w:val="mk-MK" w:bidi="mk-MK"/>
        </w:rPr>
        <w:t>гасови</w:t>
      </w:r>
      <w:r>
        <w:rPr>
          <w:rFonts w:cs="Calibri"/>
          <w:bdr w:val="nil"/>
          <w:lang w:val="mk-MK" w:bidi="mk-MK"/>
        </w:rPr>
        <w:t xml:space="preserve">, како на пример тие од печките за челик и гасот од конусните фурни може да содржат сулфур што доведува до дополнителни емисии на SOx. </w:t>
      </w:r>
    </w:p>
    <w:p w14:paraId="6CCC996F" w14:textId="537D0AB3" w:rsidR="00B16C23" w:rsidRPr="00CA5EE0" w:rsidRDefault="00B16C04" w:rsidP="00B16C23">
      <w:pPr>
        <w:rPr>
          <w:lang w:val="ro-RO"/>
        </w:rPr>
      </w:pPr>
      <w:r>
        <w:rPr>
          <w:rFonts w:cs="Calibri"/>
          <w:bdr w:val="nil"/>
          <w:lang w:val="mk-MK" w:bidi="mk-MK"/>
        </w:rPr>
        <w:t xml:space="preserve">Големите постројки за согорување </w:t>
      </w:r>
      <w:r w:rsidR="00B16C23">
        <w:rPr>
          <w:rFonts w:cs="Calibri"/>
          <w:bdr w:val="nil"/>
          <w:lang w:val="mk-MK" w:bidi="mk-MK"/>
        </w:rPr>
        <w:t>поради својата големина и употре</w:t>
      </w:r>
      <w:r w:rsidR="00914927">
        <w:rPr>
          <w:rFonts w:cs="Calibri"/>
          <w:bdr w:val="nil"/>
          <w:lang w:val="mk-MK" w:bidi="mk-MK"/>
        </w:rPr>
        <w:t>НДТ</w:t>
      </w:r>
      <w:r w:rsidR="00B16C23">
        <w:rPr>
          <w:rFonts w:cs="Calibri"/>
          <w:bdr w:val="nil"/>
          <w:lang w:val="mk-MK" w:bidi="mk-MK"/>
        </w:rPr>
        <w:t xml:space="preserve">а на големи количества гориво </w:t>
      </w:r>
      <w:r>
        <w:rPr>
          <w:rFonts w:cs="Calibri"/>
          <w:bdr w:val="nil"/>
          <w:lang w:val="mk-MK" w:bidi="mk-MK"/>
        </w:rPr>
        <w:t>често</w:t>
      </w:r>
      <w:r w:rsidR="00B16C23">
        <w:rPr>
          <w:rFonts w:cs="Calibri"/>
          <w:bdr w:val="nil"/>
          <w:lang w:val="mk-MK" w:bidi="mk-MK"/>
        </w:rPr>
        <w:t>пати</w:t>
      </w:r>
      <w:r>
        <w:rPr>
          <w:rFonts w:cs="Calibri"/>
          <w:bdr w:val="nil"/>
          <w:lang w:val="mk-MK" w:bidi="mk-MK"/>
        </w:rPr>
        <w:t xml:space="preserve"> се одговорни за </w:t>
      </w:r>
      <w:r w:rsidR="00CB448B">
        <w:rPr>
          <w:rFonts w:cs="Calibri"/>
          <w:bdr w:val="nil"/>
          <w:lang w:val="mk-MK" w:bidi="mk-MK"/>
        </w:rPr>
        <w:t xml:space="preserve">најмногу </w:t>
      </w:r>
      <w:r>
        <w:rPr>
          <w:rFonts w:cs="Calibri"/>
          <w:bdr w:val="nil"/>
          <w:lang w:val="mk-MK" w:bidi="mk-MK"/>
        </w:rPr>
        <w:t xml:space="preserve">од националните емисии.  Влијанието врз квалитетот на воздухот </w:t>
      </w:r>
      <w:r w:rsidR="00CB448B">
        <w:rPr>
          <w:rFonts w:cs="Calibri"/>
          <w:bdr w:val="nil"/>
          <w:lang w:val="mk-MK" w:bidi="mk-MK"/>
        </w:rPr>
        <w:t xml:space="preserve">е значајно, но сепак </w:t>
      </w:r>
      <w:r>
        <w:rPr>
          <w:rFonts w:cs="Calibri"/>
          <w:bdr w:val="nil"/>
          <w:lang w:val="mk-MK" w:bidi="mk-MK"/>
        </w:rPr>
        <w:t xml:space="preserve">техниките за намалување </w:t>
      </w:r>
      <w:r w:rsidR="00CB448B">
        <w:rPr>
          <w:rFonts w:cs="Calibri"/>
          <w:bdr w:val="nil"/>
          <w:lang w:val="mk-MK" w:bidi="mk-MK"/>
        </w:rPr>
        <w:t xml:space="preserve">на влијанието </w:t>
      </w:r>
      <w:r>
        <w:rPr>
          <w:rFonts w:cs="Calibri"/>
          <w:bdr w:val="nil"/>
          <w:lang w:val="mk-MK" w:bidi="mk-MK"/>
        </w:rPr>
        <w:t>како што се десулфуризација</w:t>
      </w:r>
      <w:r w:rsidR="00CB448B">
        <w:rPr>
          <w:rFonts w:cs="Calibri"/>
          <w:bdr w:val="nil"/>
          <w:lang w:val="mk-MK" w:bidi="mk-MK"/>
        </w:rPr>
        <w:t>та</w:t>
      </w:r>
      <w:r>
        <w:rPr>
          <w:rFonts w:cs="Calibri"/>
          <w:bdr w:val="nil"/>
          <w:lang w:val="mk-MK" w:bidi="mk-MK"/>
        </w:rPr>
        <w:t xml:space="preserve"> и денитрификација</w:t>
      </w:r>
      <w:r w:rsidR="00CB448B">
        <w:rPr>
          <w:rFonts w:cs="Calibri"/>
          <w:bdr w:val="nil"/>
          <w:lang w:val="mk-MK" w:bidi="mk-MK"/>
        </w:rPr>
        <w:t>та</w:t>
      </w:r>
      <w:r>
        <w:rPr>
          <w:rFonts w:cs="Calibri"/>
          <w:bdr w:val="nil"/>
          <w:lang w:val="mk-MK" w:bidi="mk-MK"/>
        </w:rPr>
        <w:t xml:space="preserve"> на издувните гасови и употре</w:t>
      </w:r>
      <w:r w:rsidR="00914927">
        <w:rPr>
          <w:rFonts w:cs="Calibri"/>
          <w:bdr w:val="nil"/>
          <w:lang w:val="mk-MK" w:bidi="mk-MK"/>
        </w:rPr>
        <w:t>НДТ</w:t>
      </w:r>
      <w:r>
        <w:rPr>
          <w:rFonts w:cs="Calibri"/>
          <w:bdr w:val="nil"/>
          <w:lang w:val="mk-MK" w:bidi="mk-MK"/>
        </w:rPr>
        <w:t>а на електрофилтри за намалување на емисиите на прашина и на метали, во комбинација со високи</w:t>
      </w:r>
      <w:r w:rsidR="00CB448B">
        <w:rPr>
          <w:rFonts w:cs="Calibri"/>
          <w:bdr w:val="nil"/>
          <w:lang w:val="mk-MK" w:bidi="mk-MK"/>
        </w:rPr>
        <w:t>те</w:t>
      </w:r>
      <w:r>
        <w:rPr>
          <w:rFonts w:cs="Calibri"/>
          <w:bdr w:val="nil"/>
          <w:lang w:val="mk-MK" w:bidi="mk-MK"/>
        </w:rPr>
        <w:t xml:space="preserve"> оџаци, може значително да г</w:t>
      </w:r>
      <w:r w:rsidR="00CB448B">
        <w:rPr>
          <w:rFonts w:cs="Calibri"/>
          <w:bdr w:val="nil"/>
          <w:lang w:val="mk-MK" w:bidi="mk-MK"/>
        </w:rPr>
        <w:t xml:space="preserve">о ограничи ова влијание. Во </w:t>
      </w:r>
      <w:r>
        <w:rPr>
          <w:rFonts w:cs="Calibri"/>
          <w:bdr w:val="nil"/>
          <w:lang w:val="mk-MK" w:bidi="mk-MK"/>
        </w:rPr>
        <w:t xml:space="preserve">Заклучоците за НДТ од Референтниот документ за најдобрите достапни техники на ЕУ за големи постројки за согорување </w:t>
      </w:r>
      <w:r w:rsidR="00CB448B">
        <w:rPr>
          <w:rFonts w:cs="Calibri"/>
          <w:bdr w:val="nil"/>
          <w:lang w:val="mk-MK" w:bidi="mk-MK"/>
        </w:rPr>
        <w:t xml:space="preserve">се содржи </w:t>
      </w:r>
      <w:r>
        <w:rPr>
          <w:rFonts w:cs="Calibri"/>
          <w:bdr w:val="nil"/>
          <w:lang w:val="mk-MK" w:bidi="mk-MK"/>
        </w:rPr>
        <w:t>опис на најновите прифатени техн</w:t>
      </w:r>
      <w:r w:rsidR="00CB448B">
        <w:rPr>
          <w:rFonts w:cs="Calibri"/>
          <w:bdr w:val="nil"/>
          <w:lang w:val="mk-MK" w:bidi="mk-MK"/>
        </w:rPr>
        <w:t>ики за намалување на влијанието врз животната средина</w:t>
      </w:r>
      <w:r>
        <w:rPr>
          <w:rFonts w:cs="Calibri"/>
          <w:bdr w:val="nil"/>
          <w:lang w:val="mk-MK" w:bidi="mk-MK"/>
        </w:rPr>
        <w:t xml:space="preserve">.  </w:t>
      </w:r>
    </w:p>
    <w:p w14:paraId="00272087" w14:textId="77777777" w:rsidR="00B16C23" w:rsidRDefault="00B16C23" w:rsidP="00B16C23">
      <w:pPr>
        <w:rPr>
          <w:b/>
          <w:i/>
          <w:lang w:val="ro-RO"/>
        </w:rPr>
      </w:pPr>
    </w:p>
    <w:p w14:paraId="78178F6A" w14:textId="77777777" w:rsidR="00B16C23" w:rsidRPr="00C41E8E" w:rsidRDefault="00B16C04" w:rsidP="00B16C23">
      <w:pPr>
        <w:rPr>
          <w:b/>
          <w:i/>
          <w:lang w:val="ro-RO"/>
        </w:rPr>
      </w:pPr>
      <w:r>
        <w:rPr>
          <w:rFonts w:cs="Calibri"/>
          <w:b/>
          <w:bCs/>
          <w:i/>
          <w:iCs/>
          <w:bdr w:val="nil"/>
          <w:lang w:val="mk-MK" w:bidi="mk-MK"/>
        </w:rPr>
        <w:t>Заклучоци за НДТ при согорување на јаглен и лигнит: (Поглавје 10.2.1)</w:t>
      </w:r>
    </w:p>
    <w:p w14:paraId="3AE5D470" w14:textId="1C071F57" w:rsidR="00B16C23" w:rsidRPr="00623485" w:rsidRDefault="00CB448B" w:rsidP="00B16C23">
      <w:pPr>
        <w:rPr>
          <w:lang w:val="mk-MK"/>
        </w:rPr>
      </w:pPr>
      <w:r>
        <w:rPr>
          <w:rFonts w:cs="Calibri"/>
          <w:bdr w:val="nil"/>
          <w:lang w:val="mk-MK" w:bidi="mk-MK"/>
        </w:rPr>
        <w:t>Покрај НДТ за општи подо</w:t>
      </w:r>
      <w:r w:rsidR="00B16C04">
        <w:rPr>
          <w:rFonts w:cs="Calibri"/>
          <w:bdr w:val="nil"/>
          <w:lang w:val="mk-MK" w:bidi="mk-MK"/>
        </w:rPr>
        <w:t>б</w:t>
      </w:r>
      <w:r>
        <w:rPr>
          <w:rFonts w:cs="Calibri"/>
          <w:bdr w:val="nil"/>
          <w:lang w:val="mk-MK" w:bidi="mk-MK"/>
        </w:rPr>
        <w:t>р</w:t>
      </w:r>
      <w:r w:rsidR="00B16C04">
        <w:rPr>
          <w:rFonts w:cs="Calibri"/>
          <w:bdr w:val="nil"/>
          <w:lang w:val="mk-MK" w:bidi="mk-MK"/>
        </w:rPr>
        <w:t>и еколошки перформанси и подобра енергетската ефикасност (НДТ 4 и 7) постои и НДТ 17 кој се одне</w:t>
      </w:r>
      <w:r>
        <w:rPr>
          <w:rFonts w:cs="Calibri"/>
          <w:bdr w:val="nil"/>
          <w:lang w:val="mk-MK" w:bidi="mk-MK"/>
        </w:rPr>
        <w:t>с</w:t>
      </w:r>
      <w:r w:rsidR="00B16C04">
        <w:rPr>
          <w:rFonts w:cs="Calibri"/>
          <w:bdr w:val="nil"/>
          <w:lang w:val="mk-MK" w:bidi="mk-MK"/>
        </w:rPr>
        <w:t>ува на интегриран</w:t>
      </w:r>
      <w:r>
        <w:rPr>
          <w:rFonts w:cs="Calibri"/>
          <w:bdr w:val="nil"/>
          <w:lang w:val="mk-MK" w:bidi="mk-MK"/>
        </w:rPr>
        <w:t>иот</w:t>
      </w:r>
      <w:r w:rsidR="00B16C04">
        <w:rPr>
          <w:rFonts w:cs="Calibri"/>
          <w:bdr w:val="nil"/>
          <w:lang w:val="mk-MK" w:bidi="mk-MK"/>
        </w:rPr>
        <w:t xml:space="preserve"> процес на согорување со висока ефикасн</w:t>
      </w:r>
      <w:r>
        <w:rPr>
          <w:rFonts w:cs="Calibri"/>
          <w:bdr w:val="nil"/>
          <w:lang w:val="mk-MK" w:bidi="mk-MK"/>
        </w:rPr>
        <w:t xml:space="preserve">ост на котелот, и НДТ 18 за претходно </w:t>
      </w:r>
      <w:r w:rsidR="00B16C04">
        <w:rPr>
          <w:rFonts w:cs="Calibri"/>
          <w:bdr w:val="nil"/>
          <w:lang w:val="mk-MK" w:bidi="mk-MK"/>
        </w:rPr>
        <w:t>сушење на ли</w:t>
      </w:r>
      <w:r w:rsidR="007E4A7A">
        <w:rPr>
          <w:rFonts w:cs="Calibri"/>
          <w:bdr w:val="nil"/>
          <w:lang w:val="mk-MK" w:bidi="mk-MK"/>
        </w:rPr>
        <w:t>гнитот.  Во т</w:t>
      </w:r>
      <w:r w:rsidR="00B16C04">
        <w:rPr>
          <w:rFonts w:cs="Calibri"/>
          <w:bdr w:val="nil"/>
          <w:lang w:val="mk-MK" w:bidi="mk-MK"/>
        </w:rPr>
        <w:t>абела 10.2 дадени се НДТ за еколошки</w:t>
      </w:r>
      <w:r>
        <w:rPr>
          <w:rFonts w:cs="Calibri"/>
          <w:bdr w:val="nil"/>
          <w:lang w:val="mk-MK" w:bidi="mk-MK"/>
        </w:rPr>
        <w:t>те пер</w:t>
      </w:r>
      <w:r w:rsidR="00B16C04">
        <w:rPr>
          <w:rFonts w:cs="Calibri"/>
          <w:bdr w:val="nil"/>
          <w:lang w:val="mk-MK" w:bidi="mk-MK"/>
        </w:rPr>
        <w:t>ф</w:t>
      </w:r>
      <w:r>
        <w:rPr>
          <w:rFonts w:cs="Calibri"/>
          <w:bdr w:val="nil"/>
          <w:lang w:val="mk-MK" w:bidi="mk-MK"/>
        </w:rPr>
        <w:t>о</w:t>
      </w:r>
      <w:r w:rsidR="00B16C04">
        <w:rPr>
          <w:rFonts w:cs="Calibri"/>
          <w:bdr w:val="nil"/>
          <w:lang w:val="mk-MK" w:bidi="mk-MK"/>
        </w:rPr>
        <w:t xml:space="preserve">рманси и за енергетската ефикасност </w:t>
      </w:r>
      <w:r>
        <w:rPr>
          <w:rFonts w:cs="Calibri"/>
          <w:bdr w:val="nil"/>
          <w:lang w:val="mk-MK" w:bidi="mk-MK"/>
        </w:rPr>
        <w:t xml:space="preserve">при </w:t>
      </w:r>
      <w:r w:rsidR="00B16C04">
        <w:rPr>
          <w:rFonts w:cs="Calibri"/>
          <w:bdr w:val="nil"/>
          <w:lang w:val="mk-MK" w:bidi="mk-MK"/>
        </w:rPr>
        <w:t xml:space="preserve">согорувањето на јаглен и лигнит. </w:t>
      </w:r>
    </w:p>
    <w:p w14:paraId="1E13A960" w14:textId="6C4A0234" w:rsidR="00B16C23" w:rsidRDefault="00B608AC" w:rsidP="00B16C23">
      <w:pPr>
        <w:rPr>
          <w:lang w:val="ro-RO"/>
        </w:rPr>
      </w:pPr>
      <w:r>
        <w:rPr>
          <w:rFonts w:cs="Calibri"/>
          <w:bdr w:val="nil"/>
          <w:lang w:val="mk-MK" w:bidi="mk-MK"/>
        </w:rPr>
        <w:t>НДТ 19 ги содржи н</w:t>
      </w:r>
      <w:r w:rsidR="00B16C04">
        <w:rPr>
          <w:rFonts w:cs="Calibri"/>
          <w:bdr w:val="nil"/>
          <w:lang w:val="mk-MK" w:bidi="mk-MK"/>
        </w:rPr>
        <w:t xml:space="preserve">ајдобрите достапни техники за спречување на емисиите на NOx со истовремено ограничување на емисиите на CO и NH3 (доколку се користат техниките </w:t>
      </w:r>
      <w:r>
        <w:rPr>
          <w:rFonts w:cs="Calibri"/>
          <w:bdr w:val="nil"/>
          <w:lang w:val="mk-MK" w:bidi="mk-MK"/>
        </w:rPr>
        <w:t>за селективно каталитичко намалување или за селективно некаталитичко намалување</w:t>
      </w:r>
      <w:r w:rsidR="00B16C04">
        <w:rPr>
          <w:rFonts w:cs="Calibri"/>
          <w:bdr w:val="nil"/>
          <w:lang w:val="mk-MK" w:bidi="mk-MK"/>
        </w:rPr>
        <w:t xml:space="preserve">) </w:t>
      </w:r>
      <w:r>
        <w:rPr>
          <w:rFonts w:cs="Calibri"/>
          <w:bdr w:val="nil"/>
          <w:lang w:val="mk-MK" w:bidi="mk-MK"/>
        </w:rPr>
        <w:t xml:space="preserve">при </w:t>
      </w:r>
      <w:r w:rsidR="00B16C04">
        <w:rPr>
          <w:rFonts w:cs="Calibri"/>
          <w:bdr w:val="nil"/>
          <w:lang w:val="mk-MK" w:bidi="mk-MK"/>
        </w:rPr>
        <w:t>согорување на јаглен и лигнит за инсталации за согорување</w:t>
      </w:r>
      <w:r>
        <w:rPr>
          <w:rFonts w:cs="Calibri"/>
          <w:bdr w:val="nil"/>
          <w:lang w:val="mk-MK" w:bidi="mk-MK"/>
        </w:rPr>
        <w:t xml:space="preserve"> од различни класи на големина</w:t>
      </w:r>
      <w:r w:rsidR="00B16C04">
        <w:rPr>
          <w:rFonts w:cs="Calibri"/>
          <w:bdr w:val="nil"/>
          <w:lang w:val="mk-MK" w:bidi="mk-MK"/>
        </w:rPr>
        <w:t xml:space="preserve">  </w:t>
      </w:r>
      <w:r w:rsidR="00B16C04">
        <w:rPr>
          <w:rFonts w:cs="Calibri"/>
          <w:bdr w:val="nil"/>
          <w:lang w:val="mk-MK" w:bidi="mk-MK"/>
        </w:rPr>
        <w:lastRenderedPageBreak/>
        <w:t xml:space="preserve">(&lt;100 MWth, 100-300 MWth и &gt;300 MWth). Нивоата на емисии при НДТ се дадени во табела 10.3. </w:t>
      </w:r>
    </w:p>
    <w:p w14:paraId="735595CC" w14:textId="12733D51" w:rsidR="00B16C23" w:rsidRDefault="00B16C04" w:rsidP="00B16C23">
      <w:pPr>
        <w:rPr>
          <w:lang w:val="ro-RO"/>
        </w:rPr>
      </w:pPr>
      <w:r>
        <w:rPr>
          <w:rFonts w:cs="Calibri"/>
          <w:bdr w:val="nil"/>
          <w:lang w:val="mk-MK" w:bidi="mk-MK"/>
        </w:rPr>
        <w:t xml:space="preserve">Во НДТ 21 се содржат </w:t>
      </w:r>
      <w:r w:rsidR="00B608AC">
        <w:rPr>
          <w:rFonts w:cs="Calibri"/>
          <w:bdr w:val="nil"/>
          <w:lang w:val="mk-MK" w:bidi="mk-MK"/>
        </w:rPr>
        <w:t>н</w:t>
      </w:r>
      <w:r>
        <w:rPr>
          <w:rFonts w:cs="Calibri"/>
          <w:bdr w:val="nil"/>
          <w:lang w:val="mk-MK" w:bidi="mk-MK"/>
        </w:rPr>
        <w:t xml:space="preserve">ајдобрите достапни техники за спречување и намалување на емисии од SOx, HCl и HF </w:t>
      </w:r>
      <w:r w:rsidR="00B608AC">
        <w:rPr>
          <w:rFonts w:cs="Calibri"/>
          <w:bdr w:val="nil"/>
          <w:lang w:val="mk-MK" w:bidi="mk-MK"/>
        </w:rPr>
        <w:t>при</w:t>
      </w:r>
      <w:r>
        <w:rPr>
          <w:rFonts w:cs="Calibri"/>
          <w:bdr w:val="nil"/>
          <w:lang w:val="mk-MK" w:bidi="mk-MK"/>
        </w:rPr>
        <w:t xml:space="preserve"> согорување на јаглен и лигнит за инсталации за согорување</w:t>
      </w:r>
      <w:r w:rsidR="00B608AC">
        <w:rPr>
          <w:rFonts w:cs="Calibri"/>
          <w:bdr w:val="nil"/>
          <w:lang w:val="mk-MK" w:bidi="mk-MK"/>
        </w:rPr>
        <w:t xml:space="preserve"> од различни класи на големина</w:t>
      </w:r>
      <w:r>
        <w:rPr>
          <w:rFonts w:cs="Calibri"/>
          <w:bdr w:val="nil"/>
          <w:lang w:val="mk-MK" w:bidi="mk-MK"/>
        </w:rPr>
        <w:t>.  Нивоата на емисии при НДТ се дадени во табелите 10.5 и 10.6.</w:t>
      </w:r>
    </w:p>
    <w:p w14:paraId="3560AFB7" w14:textId="295C7E07" w:rsidR="00B16C23" w:rsidRDefault="00B16C04" w:rsidP="00B16C23">
      <w:pPr>
        <w:rPr>
          <w:lang w:val="ro-RO"/>
        </w:rPr>
      </w:pPr>
      <w:r>
        <w:rPr>
          <w:rFonts w:cs="Calibri"/>
          <w:bdr w:val="nil"/>
          <w:lang w:val="mk-MK" w:bidi="mk-MK"/>
        </w:rPr>
        <w:t>НДТ 22 ги содр</w:t>
      </w:r>
      <w:r w:rsidR="00B608AC">
        <w:rPr>
          <w:rFonts w:cs="Calibri"/>
          <w:bdr w:val="nil"/>
          <w:lang w:val="mk-MK" w:bidi="mk-MK"/>
        </w:rPr>
        <w:t>жи н</w:t>
      </w:r>
      <w:r>
        <w:rPr>
          <w:rFonts w:cs="Calibri"/>
          <w:bdr w:val="nil"/>
          <w:lang w:val="mk-MK" w:bidi="mk-MK"/>
        </w:rPr>
        <w:t>ајдобрите достапни техники за намалување на емисиите на прашина и метали од согорувањето на јаглен и лигнит</w:t>
      </w:r>
      <w:r w:rsidR="00B608AC">
        <w:rPr>
          <w:rFonts w:cs="Calibri"/>
          <w:bdr w:val="nil"/>
          <w:lang w:val="mk-MK" w:bidi="mk-MK"/>
        </w:rPr>
        <w:t>,</w:t>
      </w:r>
      <w:r>
        <w:rPr>
          <w:rFonts w:cs="Calibri"/>
          <w:bdr w:val="nil"/>
          <w:lang w:val="mk-MK" w:bidi="mk-MK"/>
        </w:rPr>
        <w:t xml:space="preserve"> </w:t>
      </w:r>
      <w:r w:rsidR="007E4A7A">
        <w:rPr>
          <w:rFonts w:cs="Calibri"/>
          <w:bdr w:val="nil"/>
          <w:lang w:val="mk-MK" w:bidi="mk-MK"/>
        </w:rPr>
        <w:t>а емисиите при НДТ с дадени во т</w:t>
      </w:r>
      <w:r>
        <w:rPr>
          <w:rFonts w:cs="Calibri"/>
          <w:bdr w:val="nil"/>
          <w:lang w:val="mk-MK" w:bidi="mk-MK"/>
        </w:rPr>
        <w:t>абела 10.7.</w:t>
      </w:r>
    </w:p>
    <w:p w14:paraId="5941DC04" w14:textId="1BD9B37C" w:rsidR="00B16C23" w:rsidRDefault="00B16C04" w:rsidP="00B16C23">
      <w:pPr>
        <w:rPr>
          <w:lang w:val="ro-RO"/>
        </w:rPr>
      </w:pPr>
      <w:r>
        <w:rPr>
          <w:rFonts w:cs="Calibri"/>
          <w:bdr w:val="nil"/>
          <w:lang w:val="mk-MK" w:bidi="mk-MK"/>
        </w:rPr>
        <w:t xml:space="preserve">НДТ 23 содржи голем број на техники за намалување на емисиите од жива </w:t>
      </w:r>
      <w:r w:rsidR="00B608AC">
        <w:rPr>
          <w:rFonts w:cs="Calibri"/>
          <w:bdr w:val="nil"/>
          <w:lang w:val="mk-MK" w:bidi="mk-MK"/>
        </w:rPr>
        <w:t xml:space="preserve">при </w:t>
      </w:r>
      <w:r>
        <w:rPr>
          <w:rFonts w:cs="Calibri"/>
          <w:bdr w:val="nil"/>
          <w:lang w:val="mk-MK" w:bidi="mk-MK"/>
        </w:rPr>
        <w:t>согорување на јаглен и лигнит, а табелите 10.8 и 10.9 ги содржат нивоата на емисии при НДТ за различните видови горива и големини на инсталации (табелата за лигнит е 10.9).</w:t>
      </w:r>
    </w:p>
    <w:p w14:paraId="4EA26BCE" w14:textId="77777777" w:rsidR="00B16C23" w:rsidRDefault="00B16C04" w:rsidP="00B16C23">
      <w:pPr>
        <w:rPr>
          <w:lang w:val="ro-RO"/>
        </w:rPr>
      </w:pPr>
      <w:r>
        <w:rPr>
          <w:rFonts w:cs="Calibri"/>
          <w:b/>
          <w:bCs/>
          <w:i/>
          <w:iCs/>
          <w:bdr w:val="nil"/>
          <w:lang w:val="mk-MK" w:bidi="mk-MK"/>
        </w:rPr>
        <w:t>Заклучоци за НДТ при согорување на цврста биомаса и тресет (дел 10.2.2):</w:t>
      </w:r>
    </w:p>
    <w:p w14:paraId="480E9C52" w14:textId="5BB2C49E" w:rsidR="00B16C23" w:rsidRDefault="00B16C04" w:rsidP="00B16C23">
      <w:pPr>
        <w:rPr>
          <w:lang w:val="ro-RO"/>
        </w:rPr>
      </w:pPr>
      <w:r>
        <w:rPr>
          <w:rFonts w:cs="Calibri"/>
          <w:bdr w:val="nil"/>
          <w:lang w:val="mk-MK" w:bidi="mk-MK"/>
        </w:rPr>
        <w:t>Покрај НДТ за општи</w:t>
      </w:r>
      <w:r w:rsidR="009750BF">
        <w:rPr>
          <w:rFonts w:cs="Calibri"/>
          <w:bdr w:val="nil"/>
          <w:lang w:val="mk-MK" w:bidi="mk-MK"/>
        </w:rPr>
        <w:t>те</w:t>
      </w:r>
      <w:r>
        <w:rPr>
          <w:rFonts w:cs="Calibri"/>
          <w:bdr w:val="nil"/>
          <w:lang w:val="mk-MK" w:bidi="mk-MK"/>
        </w:rPr>
        <w:t xml:space="preserve"> еколошки перформанси и енергетската ефикасност (НДТ 4 и 7) постојат и НДТ 24 за класификација на горивото согласно големината и квалитетот и НДТ 25 за намалување на влажност</w:t>
      </w:r>
      <w:r w:rsidR="009750BF">
        <w:rPr>
          <w:rFonts w:cs="Calibri"/>
          <w:bdr w:val="nil"/>
          <w:lang w:val="mk-MK" w:bidi="mk-MK"/>
        </w:rPr>
        <w:t>а на горивото.   Еколошките пер</w:t>
      </w:r>
      <w:r>
        <w:rPr>
          <w:rFonts w:cs="Calibri"/>
          <w:bdr w:val="nil"/>
          <w:lang w:val="mk-MK" w:bidi="mk-MK"/>
        </w:rPr>
        <w:t>ф</w:t>
      </w:r>
      <w:r w:rsidR="009750BF">
        <w:rPr>
          <w:rFonts w:cs="Calibri"/>
          <w:bdr w:val="nil"/>
          <w:lang w:val="mk-MK" w:bidi="mk-MK"/>
        </w:rPr>
        <w:t>о</w:t>
      </w:r>
      <w:r>
        <w:rPr>
          <w:rFonts w:cs="Calibri"/>
          <w:bdr w:val="nil"/>
          <w:lang w:val="mk-MK" w:bidi="mk-MK"/>
        </w:rPr>
        <w:t xml:space="preserve">рманси при НДТ се дадени во табела 10.10.  </w:t>
      </w:r>
    </w:p>
    <w:p w14:paraId="738FD180" w14:textId="372590C8" w:rsidR="00B16C23" w:rsidRDefault="00B16C04" w:rsidP="00B16C23">
      <w:pPr>
        <w:rPr>
          <w:lang w:val="ro-RO"/>
        </w:rPr>
      </w:pPr>
      <w:r>
        <w:rPr>
          <w:rFonts w:cs="Calibri"/>
          <w:bdr w:val="nil"/>
          <w:lang w:val="mk-MK" w:bidi="mk-MK"/>
        </w:rPr>
        <w:t xml:space="preserve">Во НДТ 26 содржани се </w:t>
      </w:r>
      <w:r w:rsidR="009750BF">
        <w:rPr>
          <w:rFonts w:cs="Calibri"/>
          <w:bdr w:val="nil"/>
          <w:lang w:val="mk-MK" w:bidi="mk-MK"/>
        </w:rPr>
        <w:t>н</w:t>
      </w:r>
      <w:r>
        <w:rPr>
          <w:rFonts w:cs="Calibri"/>
          <w:bdr w:val="nil"/>
          <w:lang w:val="mk-MK" w:bidi="mk-MK"/>
        </w:rPr>
        <w:t>ајдобрите достапни техники за спречување или намалување на емисиите на NOx со истовремено намалување на е</w:t>
      </w:r>
      <w:r w:rsidR="009750BF">
        <w:rPr>
          <w:rFonts w:cs="Calibri"/>
          <w:bdr w:val="nil"/>
          <w:lang w:val="mk-MK" w:bidi="mk-MK"/>
        </w:rPr>
        <w:t>м</w:t>
      </w:r>
      <w:r>
        <w:rPr>
          <w:rFonts w:cs="Calibri"/>
          <w:bdr w:val="nil"/>
          <w:lang w:val="mk-MK" w:bidi="mk-MK"/>
        </w:rPr>
        <w:t xml:space="preserve">исиите во воздухот на CO и NH3 (доколку се користат техники </w:t>
      </w:r>
      <w:r w:rsidR="009750BF">
        <w:rPr>
          <w:rFonts w:cs="Calibri"/>
          <w:bdr w:val="nil"/>
          <w:lang w:val="mk-MK" w:bidi="mk-MK"/>
        </w:rPr>
        <w:t>за селективно каталитичко намалување или селективно некаталитичко намалување</w:t>
      </w:r>
      <w:r>
        <w:rPr>
          <w:rFonts w:cs="Calibri"/>
          <w:bdr w:val="nil"/>
          <w:lang w:val="mk-MK" w:bidi="mk-MK"/>
        </w:rPr>
        <w:t xml:space="preserve">) </w:t>
      </w:r>
      <w:r w:rsidR="009750BF">
        <w:rPr>
          <w:rFonts w:cs="Calibri"/>
          <w:bdr w:val="nil"/>
          <w:lang w:val="mk-MK" w:bidi="mk-MK"/>
        </w:rPr>
        <w:t xml:space="preserve">при </w:t>
      </w:r>
      <w:r>
        <w:rPr>
          <w:rFonts w:cs="Calibri"/>
          <w:bdr w:val="nil"/>
          <w:lang w:val="mk-MK" w:bidi="mk-MK"/>
        </w:rPr>
        <w:t xml:space="preserve">согорување на цврста биомаса и тресет за инсталации за согорување </w:t>
      </w:r>
      <w:r w:rsidR="009750BF">
        <w:rPr>
          <w:rFonts w:cs="Calibri"/>
          <w:bdr w:val="nil"/>
          <w:lang w:val="mk-MK" w:bidi="mk-MK"/>
        </w:rPr>
        <w:t xml:space="preserve">со различни класи на големини </w:t>
      </w:r>
      <w:r>
        <w:rPr>
          <w:rFonts w:cs="Calibri"/>
          <w:bdr w:val="nil"/>
          <w:lang w:val="mk-MK" w:bidi="mk-MK"/>
        </w:rPr>
        <w:t xml:space="preserve">(&lt;100 MWth, 100-300 MWth и &gt;300 ). Нивоата на емисии при НДТ се дадени во табела 10.11.  </w:t>
      </w:r>
    </w:p>
    <w:p w14:paraId="6F6501ED" w14:textId="2AAFB0E1" w:rsidR="00B16C23" w:rsidRDefault="001A29E9" w:rsidP="00B16C23">
      <w:pPr>
        <w:rPr>
          <w:lang w:val="ro-RO"/>
        </w:rPr>
      </w:pPr>
      <w:r>
        <w:rPr>
          <w:rFonts w:cs="Calibri"/>
          <w:bdr w:val="nil"/>
          <w:lang w:val="mk-MK" w:bidi="mk-MK"/>
        </w:rPr>
        <w:t>Во НДТ 28 дадени се н</w:t>
      </w:r>
      <w:r w:rsidR="00B16C04">
        <w:rPr>
          <w:rFonts w:cs="Calibri"/>
          <w:bdr w:val="nil"/>
          <w:lang w:val="mk-MK" w:bidi="mk-MK"/>
        </w:rPr>
        <w:t>ајдобрите достапни техники за спречување и намалување</w:t>
      </w:r>
      <w:r>
        <w:rPr>
          <w:rFonts w:cs="Calibri"/>
          <w:bdr w:val="nil"/>
          <w:lang w:val="mk-MK" w:bidi="mk-MK"/>
        </w:rPr>
        <w:t xml:space="preserve"> на емисии на SOx, HCl и HF при </w:t>
      </w:r>
      <w:r w:rsidR="00B16C04">
        <w:rPr>
          <w:rFonts w:cs="Calibri"/>
          <w:bdr w:val="nil"/>
          <w:lang w:val="mk-MK" w:bidi="mk-MK"/>
        </w:rPr>
        <w:t>согорување на цврста биомаса и / или тресет.  Нивоата на емисии при НДТ се дадени во табелите 10.12.</w:t>
      </w:r>
    </w:p>
    <w:p w14:paraId="1107C6A1" w14:textId="248725AF" w:rsidR="00B16C23" w:rsidRDefault="001A29E9" w:rsidP="00B16C23">
      <w:pPr>
        <w:rPr>
          <w:lang w:val="ro-RO"/>
        </w:rPr>
      </w:pPr>
      <w:r>
        <w:rPr>
          <w:rFonts w:cs="Calibri"/>
          <w:bdr w:val="nil"/>
          <w:lang w:val="mk-MK" w:bidi="mk-MK"/>
        </w:rPr>
        <w:t>НДТ 29 ги содржи н</w:t>
      </w:r>
      <w:r w:rsidR="00B16C04">
        <w:rPr>
          <w:rFonts w:cs="Calibri"/>
          <w:bdr w:val="nil"/>
          <w:lang w:val="mk-MK" w:bidi="mk-MK"/>
        </w:rPr>
        <w:t>ајдобрите достапни техники за намалување на емисиите на прашина и метали од согорувањето на цврста биомаса и тресет, а</w:t>
      </w:r>
      <w:r w:rsidR="00DD2B5C">
        <w:rPr>
          <w:rFonts w:cs="Calibri"/>
          <w:bdr w:val="nil"/>
          <w:lang w:val="mk-MK" w:bidi="mk-MK"/>
        </w:rPr>
        <w:t xml:space="preserve"> емисиите при НДТ се дадени во т</w:t>
      </w:r>
      <w:r w:rsidR="00B16C04">
        <w:rPr>
          <w:rFonts w:cs="Calibri"/>
          <w:bdr w:val="nil"/>
          <w:lang w:val="mk-MK" w:bidi="mk-MK"/>
        </w:rPr>
        <w:t>абела 10.13.</w:t>
      </w:r>
    </w:p>
    <w:p w14:paraId="725BC6C2" w14:textId="36DE1EAC" w:rsidR="00B16C23" w:rsidRDefault="00B16C04" w:rsidP="00B16C23">
      <w:pPr>
        <w:rPr>
          <w:lang w:val="ro-RO"/>
        </w:rPr>
      </w:pPr>
      <w:r>
        <w:rPr>
          <w:rFonts w:cs="Calibri"/>
          <w:bdr w:val="nil"/>
          <w:lang w:val="mk-MK" w:bidi="mk-MK"/>
        </w:rPr>
        <w:t>НДТ 30 содржи бројни техники за намалување на емисиите на жива од согорувањето на цврста биомаса и/или тресет, а</w:t>
      </w:r>
      <w:r w:rsidR="00DD2B5C">
        <w:rPr>
          <w:rFonts w:cs="Calibri"/>
          <w:bdr w:val="nil"/>
          <w:lang w:val="mk-MK" w:bidi="mk-MK"/>
        </w:rPr>
        <w:t xml:space="preserve"> емисиите при НДТ се дадени во т</w:t>
      </w:r>
      <w:r>
        <w:rPr>
          <w:rFonts w:cs="Calibri"/>
          <w:bdr w:val="nil"/>
          <w:lang w:val="mk-MK" w:bidi="mk-MK"/>
        </w:rPr>
        <w:t>абела 10.14.</w:t>
      </w:r>
    </w:p>
    <w:p w14:paraId="45E4EA20" w14:textId="77777777" w:rsidR="00B16C23" w:rsidRDefault="00B16C04" w:rsidP="00B16C23">
      <w:pPr>
        <w:rPr>
          <w:b/>
          <w:i/>
          <w:lang w:val="ro-RO"/>
        </w:rPr>
      </w:pPr>
      <w:r>
        <w:rPr>
          <w:rFonts w:cs="Calibri"/>
          <w:b/>
          <w:bCs/>
          <w:i/>
          <w:iCs/>
          <w:bdr w:val="nil"/>
          <w:lang w:val="mk-MK" w:bidi="mk-MK"/>
        </w:rPr>
        <w:t>Заклучоци за НДТ при согорување на течни горива</w:t>
      </w:r>
    </w:p>
    <w:p w14:paraId="79F6ABF5" w14:textId="76E05B16" w:rsidR="00B16C23" w:rsidRDefault="00B16C04" w:rsidP="00B16C23">
      <w:pPr>
        <w:rPr>
          <w:lang w:val="ro-RO"/>
        </w:rPr>
      </w:pPr>
      <w:r>
        <w:rPr>
          <w:rFonts w:cs="Calibri"/>
          <w:bdr w:val="nil"/>
          <w:lang w:val="mk-MK" w:bidi="mk-MK"/>
        </w:rPr>
        <w:t xml:space="preserve">Покрај НДТ за енергетската ефикасност (НДТ 7), во НДТ 31 се даваат препораки како да се зголеми енергетската ефикасност на согорувањето на тешкото и лесното гориво во горилниците.  НДТ за енергетска ефикасност се дадени </w:t>
      </w:r>
      <w:r w:rsidR="00DD2B5C">
        <w:rPr>
          <w:rFonts w:cs="Calibri"/>
          <w:bdr w:val="nil"/>
          <w:lang w:val="mk-MK" w:bidi="mk-MK"/>
        </w:rPr>
        <w:t>во т</w:t>
      </w:r>
      <w:r>
        <w:rPr>
          <w:rFonts w:cs="Calibri"/>
          <w:bdr w:val="nil"/>
          <w:lang w:val="mk-MK" w:bidi="mk-MK"/>
        </w:rPr>
        <w:t xml:space="preserve">абела 10.15.   </w:t>
      </w:r>
    </w:p>
    <w:p w14:paraId="072FCA26" w14:textId="7D1B7F7E" w:rsidR="00B16C23" w:rsidRDefault="00DD2B5C" w:rsidP="00B16C23">
      <w:pPr>
        <w:rPr>
          <w:lang w:val="ro-RO"/>
        </w:rPr>
      </w:pPr>
      <w:r>
        <w:rPr>
          <w:rFonts w:cs="Calibri"/>
          <w:bdr w:val="nil"/>
          <w:lang w:val="mk-MK" w:bidi="mk-MK"/>
        </w:rPr>
        <w:lastRenderedPageBreak/>
        <w:t>Во НДТ 32 дадени се н</w:t>
      </w:r>
      <w:r w:rsidR="00B16C04">
        <w:rPr>
          <w:rFonts w:cs="Calibri"/>
          <w:bdr w:val="nil"/>
          <w:lang w:val="mk-MK" w:bidi="mk-MK"/>
        </w:rPr>
        <w:t xml:space="preserve">ајдобрите достапни техники за спречување или намалување на емисиите на NOx, CO и NH3 во воздухот од котлите кои работат на тешко и лесно гориво. Нивоата на емисии при НДТ за инсталации за согорување </w:t>
      </w:r>
      <w:r>
        <w:rPr>
          <w:rFonts w:cs="Calibri"/>
          <w:bdr w:val="nil"/>
          <w:lang w:val="mk-MK" w:bidi="mk-MK"/>
        </w:rPr>
        <w:t>со различни класи на големини (&lt;100 MWth и &gt;100 MWth) се дадени во т</w:t>
      </w:r>
      <w:r w:rsidR="00B16C04">
        <w:rPr>
          <w:rFonts w:cs="Calibri"/>
          <w:bdr w:val="nil"/>
          <w:lang w:val="mk-MK" w:bidi="mk-MK"/>
        </w:rPr>
        <w:t>абела 10.16.</w:t>
      </w:r>
    </w:p>
    <w:p w14:paraId="4F6AB5E5" w14:textId="5F3EFB0C" w:rsidR="00B16C23" w:rsidRDefault="00DD2B5C" w:rsidP="00B16C23">
      <w:pPr>
        <w:rPr>
          <w:lang w:val="ro-RO"/>
        </w:rPr>
      </w:pPr>
      <w:r>
        <w:rPr>
          <w:rFonts w:cs="Calibri"/>
          <w:bdr w:val="nil"/>
          <w:lang w:val="mk-MK" w:bidi="mk-MK"/>
        </w:rPr>
        <w:t>Во НДТ 33 се содржат н</w:t>
      </w:r>
      <w:r w:rsidR="00B16C04">
        <w:rPr>
          <w:rFonts w:cs="Calibri"/>
          <w:bdr w:val="nil"/>
          <w:lang w:val="mk-MK" w:bidi="mk-MK"/>
        </w:rPr>
        <w:t xml:space="preserve">ајдобрите достапни техники за спречување и намалување на емисии од SOx, HCl и HF </w:t>
      </w:r>
      <w:r>
        <w:rPr>
          <w:rFonts w:cs="Calibri"/>
          <w:bdr w:val="nil"/>
          <w:lang w:val="mk-MK" w:bidi="mk-MK"/>
        </w:rPr>
        <w:t xml:space="preserve">при </w:t>
      </w:r>
      <w:r w:rsidR="00B16C04">
        <w:rPr>
          <w:rFonts w:cs="Calibri"/>
          <w:bdr w:val="nil"/>
          <w:lang w:val="mk-MK" w:bidi="mk-MK"/>
        </w:rPr>
        <w:t>согорување на тешко и лесно гориво.  Нивоата на емисии при НДТ за SOx се дадени во табела 10.17.</w:t>
      </w:r>
    </w:p>
    <w:p w14:paraId="4BD104D5" w14:textId="57656018" w:rsidR="00B16C23" w:rsidRDefault="00B16C04" w:rsidP="00B16C23">
      <w:pPr>
        <w:rPr>
          <w:lang w:val="ro-RO"/>
        </w:rPr>
      </w:pPr>
      <w:r>
        <w:rPr>
          <w:rFonts w:cs="Calibri"/>
          <w:bdr w:val="nil"/>
          <w:lang w:val="mk-MK" w:bidi="mk-MK"/>
        </w:rPr>
        <w:t xml:space="preserve">НДТ 34 ги содржи </w:t>
      </w:r>
      <w:r w:rsidR="00DD2B5C">
        <w:rPr>
          <w:rFonts w:cs="Calibri"/>
          <w:bdr w:val="nil"/>
          <w:lang w:val="mk-MK" w:bidi="mk-MK"/>
        </w:rPr>
        <w:t>н</w:t>
      </w:r>
      <w:r>
        <w:rPr>
          <w:rFonts w:cs="Calibri"/>
          <w:bdr w:val="nil"/>
          <w:lang w:val="mk-MK" w:bidi="mk-MK"/>
        </w:rPr>
        <w:t xml:space="preserve">ајдобрите достапни техники за намалување на емисиите на прашина и метали врзани за </w:t>
      </w:r>
      <w:r w:rsidR="00DD2B5C">
        <w:rPr>
          <w:rFonts w:cs="Calibri"/>
          <w:bdr w:val="nil"/>
          <w:lang w:val="mk-MK" w:bidi="mk-MK"/>
        </w:rPr>
        <w:t xml:space="preserve">суспендираните </w:t>
      </w:r>
      <w:r>
        <w:rPr>
          <w:rFonts w:cs="Calibri"/>
          <w:bdr w:val="nil"/>
          <w:lang w:val="mk-MK" w:bidi="mk-MK"/>
        </w:rPr>
        <w:t xml:space="preserve">честички </w:t>
      </w:r>
      <w:r w:rsidR="00DD2B5C">
        <w:rPr>
          <w:rFonts w:cs="Calibri"/>
          <w:bdr w:val="nil"/>
          <w:lang w:val="mk-MK" w:bidi="mk-MK"/>
        </w:rPr>
        <w:t xml:space="preserve">при </w:t>
      </w:r>
      <w:r>
        <w:rPr>
          <w:rFonts w:cs="Calibri"/>
          <w:bdr w:val="nil"/>
          <w:lang w:val="mk-MK" w:bidi="mk-MK"/>
        </w:rPr>
        <w:t>согорување на лесно и тешко гориво во котли, а емисиите п</w:t>
      </w:r>
      <w:r w:rsidR="00DD2B5C">
        <w:rPr>
          <w:rFonts w:cs="Calibri"/>
          <w:bdr w:val="nil"/>
          <w:lang w:val="mk-MK" w:bidi="mk-MK"/>
        </w:rPr>
        <w:t>ри НДТ за прашина се дадени во т</w:t>
      </w:r>
      <w:r>
        <w:rPr>
          <w:rFonts w:cs="Calibri"/>
          <w:bdr w:val="nil"/>
          <w:lang w:val="mk-MK" w:bidi="mk-MK"/>
        </w:rPr>
        <w:t>абела 10</w:t>
      </w:r>
      <w:r w:rsidR="00DD2B5C">
        <w:rPr>
          <w:rFonts w:cs="Calibri"/>
          <w:bdr w:val="nil"/>
          <w:lang w:val="mk-MK" w:bidi="mk-MK"/>
        </w:rPr>
        <w:t>.</w:t>
      </w:r>
      <w:r>
        <w:rPr>
          <w:rFonts w:cs="Calibri"/>
          <w:bdr w:val="nil"/>
          <w:lang w:val="mk-MK" w:bidi="mk-MK"/>
        </w:rPr>
        <w:t>18.</w:t>
      </w:r>
    </w:p>
    <w:p w14:paraId="2CB335C6" w14:textId="234B7DCF" w:rsidR="00B16C23" w:rsidRDefault="00B16C04" w:rsidP="00B16C23">
      <w:pPr>
        <w:rPr>
          <w:b/>
          <w:i/>
          <w:lang w:val="ro-RO"/>
        </w:rPr>
      </w:pPr>
      <w:r>
        <w:rPr>
          <w:rFonts w:cs="Calibri"/>
          <w:bdr w:val="nil"/>
          <w:lang w:val="mk-MK" w:bidi="mk-MK"/>
        </w:rPr>
        <w:t xml:space="preserve">За цилиндричните мотори кои работат на тешко гориво постојат одделни НДТ и нивоа на емисии при НДТ (НДТ 35-39, табели 10.19-10.22) </w:t>
      </w:r>
      <w:r w:rsidR="00DD2B5C">
        <w:rPr>
          <w:rFonts w:cs="Calibri"/>
          <w:bdr w:val="nil"/>
          <w:lang w:val="mk-MK" w:bidi="mk-MK"/>
        </w:rPr>
        <w:t xml:space="preserve">а исто така и за </w:t>
      </w:r>
      <w:r>
        <w:rPr>
          <w:rFonts w:cs="Calibri"/>
          <w:bdr w:val="nil"/>
          <w:lang w:val="mk-MK" w:bidi="mk-MK"/>
        </w:rPr>
        <w:t>гасните турбини кои раб</w:t>
      </w:r>
      <w:r w:rsidR="00DD2B5C">
        <w:rPr>
          <w:rFonts w:cs="Calibri"/>
          <w:bdr w:val="nil"/>
          <w:lang w:val="mk-MK" w:bidi="mk-MK"/>
        </w:rPr>
        <w:t>отат на лесно гориво (НДТ 40-43,</w:t>
      </w:r>
      <w:r>
        <w:rPr>
          <w:rFonts w:cs="Calibri"/>
          <w:bdr w:val="nil"/>
          <w:lang w:val="mk-MK" w:bidi="mk-MK"/>
        </w:rPr>
        <w:t xml:space="preserve"> табели 10.23-10.25).</w:t>
      </w:r>
    </w:p>
    <w:p w14:paraId="7222B0F6" w14:textId="77777777" w:rsidR="00B16C23" w:rsidRDefault="00B16C04" w:rsidP="00B16C23">
      <w:pPr>
        <w:rPr>
          <w:lang w:val="ro-RO"/>
        </w:rPr>
      </w:pPr>
      <w:r>
        <w:rPr>
          <w:rFonts w:cs="Calibri"/>
          <w:b/>
          <w:bCs/>
          <w:i/>
          <w:iCs/>
          <w:bdr w:val="nil"/>
          <w:lang w:val="mk-MK" w:bidi="mk-MK"/>
        </w:rPr>
        <w:t>Заклучоци за НДТ при согорување на гасни горива</w:t>
      </w:r>
    </w:p>
    <w:p w14:paraId="37EBCADF" w14:textId="32F8A66E" w:rsidR="00B16C23" w:rsidRDefault="00B16C04" w:rsidP="00B16C23">
      <w:pPr>
        <w:rPr>
          <w:lang w:val="ro-RO"/>
        </w:rPr>
      </w:pPr>
      <w:r>
        <w:rPr>
          <w:rFonts w:cs="Calibri"/>
          <w:bdr w:val="nil"/>
          <w:lang w:val="mk-MK" w:bidi="mk-MK"/>
        </w:rPr>
        <w:t xml:space="preserve">Покрај НДТ за енергетската ефикасност (НДТ 7), во НДТ 44 се даваат препораки како да се зголеми енергетската ефикасност на согорувањето на природниот гас во горилниците.  Исто така постои и НДТ 45 во кој </w:t>
      </w:r>
      <w:r w:rsidR="00DD2B5C">
        <w:rPr>
          <w:rFonts w:cs="Calibri"/>
          <w:bdr w:val="nil"/>
          <w:lang w:val="mk-MK" w:bidi="mk-MK"/>
        </w:rPr>
        <w:t>с</w:t>
      </w:r>
      <w:r>
        <w:rPr>
          <w:rFonts w:cs="Calibri"/>
          <w:bdr w:val="nil"/>
          <w:lang w:val="mk-MK" w:bidi="mk-MK"/>
        </w:rPr>
        <w:t>е опишува употре</w:t>
      </w:r>
      <w:r w:rsidR="00914927">
        <w:rPr>
          <w:rFonts w:cs="Calibri"/>
          <w:bdr w:val="nil"/>
          <w:lang w:val="mk-MK" w:bidi="mk-MK"/>
        </w:rPr>
        <w:t>НДТ</w:t>
      </w:r>
      <w:r>
        <w:rPr>
          <w:rFonts w:cs="Calibri"/>
          <w:bdr w:val="nil"/>
          <w:lang w:val="mk-MK" w:bidi="mk-MK"/>
        </w:rPr>
        <w:t xml:space="preserve">а на </w:t>
      </w:r>
      <w:r w:rsidR="00DD2B5C">
        <w:rPr>
          <w:rFonts w:cs="Calibri"/>
          <w:bdr w:val="nil"/>
          <w:lang w:val="mk-MK" w:bidi="mk-MK"/>
        </w:rPr>
        <w:t xml:space="preserve">турбини за експанзија </w:t>
      </w:r>
      <w:r>
        <w:rPr>
          <w:rFonts w:cs="Calibri"/>
          <w:bdr w:val="nil"/>
          <w:lang w:val="mk-MK" w:bidi="mk-MK"/>
        </w:rPr>
        <w:t xml:space="preserve">за да се искористи енергијата на гасните горива кои се доставуваат под притисок.  Нивоата на еколошки перформанси при НДТ за енергетската ефикасност на </w:t>
      </w:r>
      <w:r w:rsidR="00DD2B5C">
        <w:rPr>
          <w:rFonts w:cs="Calibri"/>
          <w:bdr w:val="nil"/>
          <w:lang w:val="mk-MK" w:bidi="mk-MK"/>
        </w:rPr>
        <w:t>постројки</w:t>
      </w:r>
      <w:r>
        <w:rPr>
          <w:rFonts w:cs="Calibri"/>
          <w:bdr w:val="nil"/>
          <w:lang w:val="mk-MK" w:bidi="mk-MK"/>
        </w:rPr>
        <w:t xml:space="preserve"> за </w:t>
      </w:r>
      <w:r w:rsidR="00DD2B5C">
        <w:rPr>
          <w:rFonts w:cs="Calibri"/>
          <w:bdr w:val="nil"/>
          <w:lang w:val="mk-MK" w:bidi="mk-MK"/>
        </w:rPr>
        <w:t>согорување</w:t>
      </w:r>
      <w:r>
        <w:rPr>
          <w:rFonts w:cs="Calibri"/>
          <w:bdr w:val="nil"/>
          <w:lang w:val="mk-MK" w:bidi="mk-MK"/>
        </w:rPr>
        <w:t xml:space="preserve"> на природен гас се дадени во табела 10.26 (котли на гас, отворени турбини и гасни турбини за комбиниран циклус).  </w:t>
      </w:r>
    </w:p>
    <w:p w14:paraId="6BD2B070" w14:textId="16598A21" w:rsidR="00B16C23" w:rsidRDefault="007E4A7A" w:rsidP="00B16C23">
      <w:pPr>
        <w:rPr>
          <w:lang w:val="ro-RO"/>
        </w:rPr>
      </w:pPr>
      <w:r>
        <w:rPr>
          <w:rFonts w:cs="Calibri"/>
          <w:bdr w:val="nil"/>
          <w:lang w:val="mk-MK" w:bidi="mk-MK"/>
        </w:rPr>
        <w:t>Во П</w:t>
      </w:r>
      <w:r w:rsidR="00B16C04">
        <w:rPr>
          <w:rFonts w:cs="Calibri"/>
          <w:bdr w:val="nil"/>
          <w:lang w:val="mk-MK" w:bidi="mk-MK"/>
        </w:rPr>
        <w:t xml:space="preserve">оглавје 10.4.1.2 опишани се НДТ за </w:t>
      </w:r>
      <w:r w:rsidR="00DD2B5C">
        <w:rPr>
          <w:rFonts w:cs="Calibri"/>
          <w:bdr w:val="nil"/>
          <w:lang w:val="mk-MK" w:bidi="mk-MK"/>
        </w:rPr>
        <w:t xml:space="preserve">намалување на </w:t>
      </w:r>
      <w:r w:rsidR="00B16C04">
        <w:rPr>
          <w:rFonts w:cs="Calibri"/>
          <w:bdr w:val="nil"/>
          <w:lang w:val="mk-MK" w:bidi="mk-MK"/>
        </w:rPr>
        <w:t xml:space="preserve">емисиите на NOx во воздухот </w:t>
      </w:r>
      <w:r w:rsidR="00DD2B5C">
        <w:rPr>
          <w:rFonts w:cs="Calibri"/>
          <w:bdr w:val="nil"/>
          <w:lang w:val="mk-MK" w:bidi="mk-MK"/>
        </w:rPr>
        <w:t>при</w:t>
      </w:r>
      <w:r w:rsidR="00B16C04">
        <w:rPr>
          <w:rFonts w:cs="Calibri"/>
          <w:bdr w:val="nil"/>
          <w:lang w:val="mk-MK" w:bidi="mk-MK"/>
        </w:rPr>
        <w:t xml:space="preserve"> согорување на природен гас во котли (НДТ 46), како и НДТ за </w:t>
      </w:r>
      <w:r w:rsidR="00DD2B5C">
        <w:rPr>
          <w:rFonts w:cs="Calibri"/>
          <w:bdr w:val="nil"/>
          <w:lang w:val="mk-MK" w:bidi="mk-MK"/>
        </w:rPr>
        <w:t>намалување</w:t>
      </w:r>
      <w:r w:rsidR="00B16C04">
        <w:rPr>
          <w:rFonts w:cs="Calibri"/>
          <w:bdr w:val="nil"/>
          <w:lang w:val="mk-MK" w:bidi="mk-MK"/>
        </w:rPr>
        <w:t xml:space="preserve"> на емисиите на NOx во воздухот </w:t>
      </w:r>
      <w:r w:rsidR="00DD2B5C">
        <w:rPr>
          <w:rFonts w:cs="Calibri"/>
          <w:bdr w:val="nil"/>
          <w:lang w:val="mk-MK" w:bidi="mk-MK"/>
        </w:rPr>
        <w:t>при</w:t>
      </w:r>
      <w:r w:rsidR="00B16C04">
        <w:rPr>
          <w:rFonts w:cs="Calibri"/>
          <w:bdr w:val="nil"/>
          <w:lang w:val="mk-MK" w:bidi="mk-MK"/>
        </w:rPr>
        <w:t xml:space="preserve"> согорување на природен гас во гасни турбини, </w:t>
      </w:r>
      <w:r w:rsidR="00DD2B5C">
        <w:rPr>
          <w:rFonts w:cs="Calibri"/>
          <w:bdr w:val="nil"/>
          <w:lang w:val="mk-MK" w:bidi="mk-MK"/>
        </w:rPr>
        <w:t xml:space="preserve">со </w:t>
      </w:r>
      <w:r w:rsidR="00B16C04">
        <w:rPr>
          <w:rFonts w:cs="Calibri"/>
          <w:bdr w:val="nil"/>
          <w:lang w:val="mk-MK" w:bidi="mk-MK"/>
        </w:rPr>
        <w:t xml:space="preserve">истовремено </w:t>
      </w:r>
      <w:r w:rsidR="00DD2B5C">
        <w:rPr>
          <w:rFonts w:cs="Calibri"/>
          <w:bdr w:val="nil"/>
          <w:lang w:val="mk-MK" w:bidi="mk-MK"/>
        </w:rPr>
        <w:t xml:space="preserve">ограничување на </w:t>
      </w:r>
      <w:r w:rsidR="00B16C04">
        <w:rPr>
          <w:rFonts w:cs="Calibri"/>
          <w:bdr w:val="nil"/>
          <w:lang w:val="mk-MK" w:bidi="mk-MK"/>
        </w:rPr>
        <w:t xml:space="preserve">бегањето на NH3 при употреба на </w:t>
      </w:r>
      <w:r w:rsidR="00DD2B5C">
        <w:rPr>
          <w:rFonts w:cs="Calibri"/>
          <w:bdr w:val="nil"/>
          <w:lang w:val="mk-MK" w:bidi="mk-MK"/>
        </w:rPr>
        <w:t xml:space="preserve">селективно каталитичко намалување </w:t>
      </w:r>
      <w:r w:rsidR="00B16C04">
        <w:rPr>
          <w:rFonts w:cs="Calibri"/>
          <w:bdr w:val="nil"/>
          <w:lang w:val="mk-MK" w:bidi="mk-MK"/>
        </w:rPr>
        <w:t xml:space="preserve">(НДТ 47) и намалување на емисиите на NOx во воздухот </w:t>
      </w:r>
      <w:r w:rsidR="00DD2B5C">
        <w:rPr>
          <w:rFonts w:cs="Calibri"/>
          <w:bdr w:val="nil"/>
          <w:lang w:val="mk-MK" w:bidi="mk-MK"/>
        </w:rPr>
        <w:t>при</w:t>
      </w:r>
      <w:r w:rsidR="00B16C04">
        <w:rPr>
          <w:rFonts w:cs="Calibri"/>
          <w:bdr w:val="nil"/>
          <w:lang w:val="mk-MK" w:bidi="mk-MK"/>
        </w:rPr>
        <w:t xml:space="preserve"> согорување на природен гас во моторите (НДТ 48).</w:t>
      </w:r>
    </w:p>
    <w:p w14:paraId="0CC7BA51" w14:textId="35423A54" w:rsidR="00B16C23" w:rsidRDefault="00DD2B5C" w:rsidP="00B16C23">
      <w:pPr>
        <w:rPr>
          <w:lang w:val="ro-RO"/>
        </w:rPr>
      </w:pPr>
      <w:r>
        <w:rPr>
          <w:rFonts w:cs="Calibri"/>
          <w:bdr w:val="nil"/>
          <w:lang w:val="mk-MK" w:bidi="mk-MK"/>
        </w:rPr>
        <w:t>НДТ 49 ги содржи н</w:t>
      </w:r>
      <w:r w:rsidR="00B16C04">
        <w:rPr>
          <w:rFonts w:cs="Calibri"/>
          <w:bdr w:val="nil"/>
          <w:lang w:val="mk-MK" w:bidi="mk-MK"/>
        </w:rPr>
        <w:t>ајдобрите достапни техники за намалување на емисиите на СО во воздухот при согорување на природен гас. Нивоата на емисии на CO и NOx при НДТ од согорувањето на природен гас се дадени во табелата 10.27 (за гасни турбини) и во 10.28 (котли и мотори).</w:t>
      </w:r>
    </w:p>
    <w:p w14:paraId="65437231" w14:textId="3BC847CC" w:rsidR="00B16C23" w:rsidRDefault="00B16C04" w:rsidP="00B16C23">
      <w:pPr>
        <w:rPr>
          <w:lang w:val="ro-RO"/>
        </w:rPr>
      </w:pPr>
      <w:r>
        <w:rPr>
          <w:rFonts w:cs="Calibri"/>
          <w:bdr w:val="nil"/>
          <w:lang w:val="mk-MK" w:bidi="mk-MK"/>
        </w:rPr>
        <w:t xml:space="preserve">Во НДТ 50 дадени се </w:t>
      </w:r>
      <w:r w:rsidR="00DD2B5C">
        <w:rPr>
          <w:rFonts w:cs="Calibri"/>
          <w:bdr w:val="nil"/>
          <w:lang w:val="mk-MK" w:bidi="mk-MK"/>
        </w:rPr>
        <w:t>н</w:t>
      </w:r>
      <w:r>
        <w:rPr>
          <w:rFonts w:cs="Calibri"/>
          <w:bdr w:val="nil"/>
          <w:lang w:val="mk-MK" w:bidi="mk-MK"/>
        </w:rPr>
        <w:t xml:space="preserve">ајдобрите достапни техники за намалување на неметанските испарливи органски соединенија (NM-VOC) и </w:t>
      </w:r>
      <w:r w:rsidR="00DD2B5C">
        <w:rPr>
          <w:rFonts w:cs="Calibri"/>
          <w:bdr w:val="nil"/>
          <w:lang w:val="mk-MK" w:bidi="mk-MK"/>
        </w:rPr>
        <w:t xml:space="preserve">на </w:t>
      </w:r>
      <w:r>
        <w:rPr>
          <w:rFonts w:cs="Calibri"/>
          <w:bdr w:val="nil"/>
          <w:lang w:val="mk-MK" w:bidi="mk-MK"/>
        </w:rPr>
        <w:t>емисиите на м</w:t>
      </w:r>
      <w:r w:rsidR="00DD2B5C">
        <w:rPr>
          <w:rFonts w:cs="Calibri"/>
          <w:bdr w:val="nil"/>
          <w:lang w:val="mk-MK" w:bidi="mk-MK"/>
        </w:rPr>
        <w:t>е</w:t>
      </w:r>
      <w:r>
        <w:rPr>
          <w:rFonts w:cs="Calibri"/>
          <w:bdr w:val="nil"/>
          <w:lang w:val="mk-MK" w:bidi="mk-MK"/>
        </w:rPr>
        <w:t xml:space="preserve">тан во воздухот од согорување на природен гас при посно согорување на гас запален со искри </w:t>
      </w:r>
      <w:r w:rsidR="00DD2B5C">
        <w:rPr>
          <w:rFonts w:cs="Calibri"/>
          <w:bdr w:val="nil"/>
          <w:lang w:val="mk-MK" w:bidi="mk-MK"/>
        </w:rPr>
        <w:t>-</w:t>
      </w:r>
      <w:r>
        <w:rPr>
          <w:rFonts w:cs="Calibri"/>
          <w:bdr w:val="nil"/>
          <w:lang w:val="mk-MK" w:bidi="mk-MK"/>
        </w:rPr>
        <w:t xml:space="preserve">и во моторите кои работат со два вида гориво.  НДТ е да се обезбедат услови за целосно и стабилно согорување и/или да се применат катализатори за оксидација.  Табела 10.29 ги содржи нивоата на емисии при НДТ за емисии на NMVOC и CH4 во воздухот </w:t>
      </w:r>
      <w:r w:rsidR="00DD2B5C">
        <w:rPr>
          <w:rFonts w:cs="Calibri"/>
          <w:bdr w:val="nil"/>
          <w:lang w:val="mk-MK" w:bidi="mk-MK"/>
        </w:rPr>
        <w:t>при</w:t>
      </w:r>
      <w:r>
        <w:rPr>
          <w:rFonts w:cs="Calibri"/>
          <w:bdr w:val="nil"/>
          <w:lang w:val="mk-MK" w:bidi="mk-MK"/>
        </w:rPr>
        <w:t xml:space="preserve"> согорување на природен гас во мотори кои се палат со искри и во мотори кои користат две горива. </w:t>
      </w:r>
    </w:p>
    <w:p w14:paraId="6780A78D" w14:textId="6719999B" w:rsidR="00B16C23" w:rsidRDefault="00062E82" w:rsidP="00B16C23">
      <w:pPr>
        <w:rPr>
          <w:lang w:val="ro-RO"/>
        </w:rPr>
      </w:pPr>
      <w:r>
        <w:rPr>
          <w:rFonts w:cs="Calibri"/>
          <w:bdr w:val="nil"/>
          <w:lang w:val="mk-MK" w:bidi="mk-MK"/>
        </w:rPr>
        <w:lastRenderedPageBreak/>
        <w:t>Во П</w:t>
      </w:r>
      <w:r w:rsidR="00B16C04">
        <w:rPr>
          <w:rFonts w:cs="Calibri"/>
          <w:bdr w:val="nil"/>
          <w:lang w:val="mk-MK" w:bidi="mk-MK"/>
        </w:rPr>
        <w:t xml:space="preserve">оглавје 10.4.2 дадени се заклучоците за НДТ и нивоата на емисии при НДТ за согорување во процесите за производство на железо и челик (НДТ 51-58, табели 10.30-10.36, </w:t>
      </w:r>
      <w:r w:rsidR="00DD2B5C">
        <w:rPr>
          <w:rFonts w:cs="Calibri"/>
          <w:bdr w:val="nil"/>
          <w:lang w:val="mk-MK" w:bidi="mk-MK"/>
        </w:rPr>
        <w:t xml:space="preserve">но </w:t>
      </w:r>
      <w:r w:rsidR="00B16C04">
        <w:rPr>
          <w:rFonts w:cs="Calibri"/>
          <w:bdr w:val="nil"/>
          <w:lang w:val="mk-MK" w:bidi="mk-MK"/>
        </w:rPr>
        <w:t xml:space="preserve">не </w:t>
      </w:r>
      <w:r w:rsidR="00DD2B5C">
        <w:rPr>
          <w:rFonts w:cs="Calibri"/>
          <w:bdr w:val="nil"/>
          <w:lang w:val="mk-MK" w:bidi="mk-MK"/>
        </w:rPr>
        <w:t xml:space="preserve">и </w:t>
      </w:r>
      <w:r w:rsidR="00B16C04">
        <w:rPr>
          <w:rFonts w:cs="Calibri"/>
          <w:bdr w:val="nil"/>
          <w:lang w:val="mk-MK" w:bidi="mk-MK"/>
        </w:rPr>
        <w:t>за електро лачни печки).</w:t>
      </w:r>
    </w:p>
    <w:p w14:paraId="4DA8BFB0" w14:textId="7924D03E" w:rsidR="00B16C23" w:rsidRDefault="00B16C04" w:rsidP="00B16C23">
      <w:pPr>
        <w:rPr>
          <w:lang w:val="ro-RO"/>
        </w:rPr>
      </w:pPr>
      <w:r>
        <w:rPr>
          <w:rFonts w:cs="Calibri"/>
          <w:b/>
          <w:bCs/>
          <w:i/>
          <w:iCs/>
          <w:bdr w:val="nil"/>
          <w:lang w:val="mk-MK" w:bidi="mk-MK"/>
        </w:rPr>
        <w:t>Заклучоци за НДТ при согорување на горива од индуст</w:t>
      </w:r>
      <w:r w:rsidR="001A7DCF">
        <w:rPr>
          <w:rFonts w:cs="Calibri"/>
          <w:b/>
          <w:bCs/>
          <w:i/>
          <w:iCs/>
          <w:bdr w:val="nil"/>
          <w:lang w:val="mk-MK" w:bidi="mk-MK"/>
        </w:rPr>
        <w:t>р</w:t>
      </w:r>
      <w:r>
        <w:rPr>
          <w:rFonts w:cs="Calibri"/>
          <w:b/>
          <w:bCs/>
          <w:i/>
          <w:iCs/>
          <w:bdr w:val="nil"/>
          <w:lang w:val="mk-MK" w:bidi="mk-MK"/>
        </w:rPr>
        <w:t>иските процеси произведени во хемиската индустр</w:t>
      </w:r>
      <w:r w:rsidR="001A7DCF">
        <w:rPr>
          <w:rFonts w:cs="Calibri"/>
          <w:b/>
          <w:bCs/>
          <w:i/>
          <w:iCs/>
          <w:bdr w:val="nil"/>
          <w:lang w:val="mk-MK" w:bidi="mk-MK"/>
        </w:rPr>
        <w:t>и</w:t>
      </w:r>
      <w:r>
        <w:rPr>
          <w:rFonts w:cs="Calibri"/>
          <w:b/>
          <w:bCs/>
          <w:i/>
          <w:iCs/>
          <w:bdr w:val="nil"/>
          <w:lang w:val="mk-MK" w:bidi="mk-MK"/>
        </w:rPr>
        <w:t xml:space="preserve">ја </w:t>
      </w:r>
    </w:p>
    <w:p w14:paraId="5DCE9941" w14:textId="2F4E4E36" w:rsidR="00B16C23" w:rsidRDefault="00062E82" w:rsidP="00B16C23">
      <w:pPr>
        <w:rPr>
          <w:lang w:val="ro-RO"/>
        </w:rPr>
      </w:pPr>
      <w:r>
        <w:rPr>
          <w:rFonts w:cs="Calibri"/>
          <w:bdr w:val="nil"/>
          <w:lang w:val="mk-MK" w:bidi="mk-MK"/>
        </w:rPr>
        <w:t>Во П</w:t>
      </w:r>
      <w:r w:rsidR="00B16C04">
        <w:rPr>
          <w:rFonts w:cs="Calibri"/>
          <w:bdr w:val="nil"/>
          <w:lang w:val="mk-MK" w:bidi="mk-MK"/>
        </w:rPr>
        <w:t xml:space="preserve">оглавје 10.5.1 дадени се заклучоците за НДТ и нивоата на емисии при НДТ за согорување на гасни и течни горива кои се </w:t>
      </w:r>
      <w:r>
        <w:rPr>
          <w:rFonts w:cs="Calibri"/>
          <w:bdr w:val="nil"/>
          <w:lang w:val="mk-MK" w:bidi="mk-MK"/>
        </w:rPr>
        <w:t>производ на процесите во хемиската инд</w:t>
      </w:r>
      <w:r w:rsidR="00B16C04">
        <w:rPr>
          <w:rFonts w:cs="Calibri"/>
          <w:bdr w:val="nil"/>
          <w:lang w:val="mk-MK" w:bidi="mk-MK"/>
        </w:rPr>
        <w:t>у</w:t>
      </w:r>
      <w:r>
        <w:rPr>
          <w:rFonts w:cs="Calibri"/>
          <w:bdr w:val="nil"/>
          <w:lang w:val="mk-MK" w:bidi="mk-MK"/>
        </w:rPr>
        <w:t>с</w:t>
      </w:r>
      <w:r w:rsidR="00B16C04">
        <w:rPr>
          <w:rFonts w:cs="Calibri"/>
          <w:bdr w:val="nil"/>
          <w:lang w:val="mk-MK" w:bidi="mk-MK"/>
        </w:rPr>
        <w:t xml:space="preserve">трија, вклучувајќи ги и </w:t>
      </w:r>
      <w:r>
        <w:rPr>
          <w:rFonts w:cs="Calibri"/>
          <w:bdr w:val="nil"/>
          <w:lang w:val="mk-MK" w:bidi="mk-MK"/>
        </w:rPr>
        <w:t xml:space="preserve">смесите </w:t>
      </w:r>
      <w:r w:rsidR="00B16C04">
        <w:rPr>
          <w:rFonts w:cs="Calibri"/>
          <w:bdr w:val="nil"/>
          <w:lang w:val="mk-MK" w:bidi="mk-MK"/>
        </w:rPr>
        <w:t>со комерцијалните горива (НДТ 61-6</w:t>
      </w:r>
      <w:r w:rsidR="007E4A7A">
        <w:rPr>
          <w:rFonts w:cs="Calibri"/>
          <w:bdr w:val="nil"/>
          <w:lang w:val="mk-MK" w:bidi="mk-MK"/>
        </w:rPr>
        <w:t>9, табели 10.38-10.45). Во ова П</w:t>
      </w:r>
      <w:r w:rsidR="00B16C04">
        <w:rPr>
          <w:rFonts w:cs="Calibri"/>
          <w:bdr w:val="nil"/>
          <w:lang w:val="mk-MK" w:bidi="mk-MK"/>
        </w:rPr>
        <w:t>оглавје дадени се нивоата на емисии при НДТ за NOx, NH3, CO, SOx, HCl, HF, прашина, метали врзани з</w:t>
      </w:r>
      <w:r w:rsidR="00653AE4">
        <w:rPr>
          <w:rFonts w:cs="Calibri"/>
          <w:bdr w:val="nil"/>
          <w:lang w:val="mk-MK" w:bidi="mk-MK"/>
        </w:rPr>
        <w:t>а</w:t>
      </w:r>
      <w:r w:rsidR="00B16C04">
        <w:rPr>
          <w:rFonts w:cs="Calibri"/>
          <w:bdr w:val="nil"/>
          <w:lang w:val="mk-MK" w:bidi="mk-MK"/>
        </w:rPr>
        <w:t xml:space="preserve"> суспендирани честички, жива, диоксини и фурани и за вкупниот органски јаглерод. </w:t>
      </w:r>
    </w:p>
    <w:p w14:paraId="59DA360B" w14:textId="704BF10E" w:rsidR="00B16C23" w:rsidRDefault="00653AE4" w:rsidP="00B16C23">
      <w:pPr>
        <w:rPr>
          <w:lang w:val="ro-RO"/>
        </w:rPr>
      </w:pPr>
      <w:r>
        <w:rPr>
          <w:rFonts w:cs="Calibri"/>
          <w:b/>
          <w:bCs/>
          <w:i/>
          <w:iCs/>
          <w:bdr w:val="nil"/>
          <w:lang w:val="mk-MK" w:bidi="mk-MK"/>
        </w:rPr>
        <w:t>Заклучоци</w:t>
      </w:r>
      <w:r w:rsidR="00B16C04">
        <w:rPr>
          <w:rFonts w:cs="Calibri"/>
          <w:b/>
          <w:bCs/>
          <w:i/>
          <w:iCs/>
          <w:bdr w:val="nil"/>
          <w:lang w:val="mk-MK" w:bidi="mk-MK"/>
        </w:rPr>
        <w:t xml:space="preserve"> за НДТ за ко-согорување на отпад </w:t>
      </w:r>
    </w:p>
    <w:p w14:paraId="23581F43" w14:textId="2FC590E4" w:rsidR="00B16C23" w:rsidRDefault="00653AE4" w:rsidP="00B16C23">
      <w:pPr>
        <w:rPr>
          <w:lang w:val="ro-RO"/>
        </w:rPr>
      </w:pPr>
      <w:r>
        <w:rPr>
          <w:rFonts w:cs="Calibri"/>
          <w:bdr w:val="nil"/>
          <w:lang w:val="mk-MK" w:bidi="mk-MK"/>
        </w:rPr>
        <w:t>Во П</w:t>
      </w:r>
      <w:r w:rsidR="00B16C04">
        <w:rPr>
          <w:rFonts w:cs="Calibri"/>
          <w:bdr w:val="nil"/>
          <w:lang w:val="mk-MK" w:bidi="mk-MK"/>
        </w:rPr>
        <w:t>оглавје 10.6.1 опишани се НДТ и нивоата на емисии при НДТ за емисии во воздухот од инсталаци</w:t>
      </w:r>
      <w:r>
        <w:rPr>
          <w:rFonts w:cs="Calibri"/>
          <w:bdr w:val="nil"/>
          <w:lang w:val="mk-MK" w:bidi="mk-MK"/>
        </w:rPr>
        <w:t>и</w:t>
      </w:r>
      <w:r w:rsidR="00B16C04">
        <w:rPr>
          <w:rFonts w:cs="Calibri"/>
          <w:bdr w:val="nil"/>
          <w:lang w:val="mk-MK" w:bidi="mk-MK"/>
        </w:rPr>
        <w:t>те за согорување кои горат отпад како дел од суровини</w:t>
      </w:r>
      <w:r>
        <w:rPr>
          <w:rFonts w:cs="Calibri"/>
          <w:bdr w:val="nil"/>
          <w:lang w:val="mk-MK" w:bidi="mk-MK"/>
        </w:rPr>
        <w:t>те за согорување</w:t>
      </w:r>
      <w:r w:rsidR="00B16C04">
        <w:rPr>
          <w:rFonts w:cs="Calibri"/>
          <w:bdr w:val="nil"/>
          <w:lang w:val="mk-MK" w:bidi="mk-MK"/>
        </w:rPr>
        <w:t xml:space="preserve"> (НДТ 70-81, </w:t>
      </w:r>
      <w:r w:rsidR="007E4A7A">
        <w:rPr>
          <w:rFonts w:cs="Calibri"/>
          <w:bdr w:val="nil"/>
          <w:lang w:val="mk-MK" w:bidi="mk-MK"/>
        </w:rPr>
        <w:t>табели 10.46-10.54). Во ова П</w:t>
      </w:r>
      <w:r w:rsidR="00B16C04">
        <w:rPr>
          <w:rFonts w:cs="Calibri"/>
          <w:bdr w:val="nil"/>
          <w:lang w:val="mk-MK" w:bidi="mk-MK"/>
        </w:rPr>
        <w:t>оглавје дадени се нивоата на емисии при НДТ за NOx, NH3, CO, SOx, HCl, HF, прашина, метали врзан</w:t>
      </w:r>
      <w:r w:rsidR="008B3277">
        <w:rPr>
          <w:rFonts w:cs="Calibri"/>
          <w:bdr w:val="nil"/>
          <w:lang w:val="mk-MK" w:bidi="mk-MK"/>
        </w:rPr>
        <w:t>и за</w:t>
      </w:r>
      <w:r w:rsidR="00B16C04">
        <w:rPr>
          <w:rFonts w:cs="Calibri"/>
          <w:bdr w:val="nil"/>
          <w:lang w:val="mk-MK" w:bidi="mk-MK"/>
        </w:rPr>
        <w:t xml:space="preserve"> суспендирани честички, жива, PCDD/F (диоксини) и за вкупниот органски јаглерод.  </w:t>
      </w:r>
      <w:r w:rsidR="008B3277">
        <w:rPr>
          <w:rFonts w:cs="Calibri"/>
          <w:bdr w:val="nil"/>
          <w:lang w:val="mk-MK" w:bidi="mk-MK"/>
        </w:rPr>
        <w:t xml:space="preserve">Кај </w:t>
      </w:r>
      <w:r w:rsidR="00B16C04">
        <w:rPr>
          <w:rFonts w:cs="Calibri"/>
          <w:bdr w:val="nil"/>
          <w:lang w:val="mk-MK" w:bidi="mk-MK"/>
        </w:rPr>
        <w:t xml:space="preserve">некои нивоа на емисии при НДТ се прави разлика помеѓу ко-согорување во постројки кои согоруваат  јаглен и лигнит и оние кои согоруваат биомаса и тресет.  </w:t>
      </w:r>
    </w:p>
    <w:p w14:paraId="06B409F6" w14:textId="5227B07F" w:rsidR="00B16C23" w:rsidRDefault="008B3277" w:rsidP="00B16C23">
      <w:pPr>
        <w:rPr>
          <w:lang w:val="ro-RO"/>
        </w:rPr>
      </w:pPr>
      <w:r>
        <w:rPr>
          <w:rFonts w:cs="Calibri"/>
          <w:b/>
          <w:bCs/>
          <w:i/>
          <w:iCs/>
          <w:bdr w:val="nil"/>
          <w:lang w:val="mk-MK" w:bidi="mk-MK"/>
        </w:rPr>
        <w:t>З</w:t>
      </w:r>
      <w:r w:rsidR="00B16C04">
        <w:rPr>
          <w:rFonts w:cs="Calibri"/>
          <w:b/>
          <w:bCs/>
          <w:i/>
          <w:iCs/>
          <w:bdr w:val="nil"/>
          <w:lang w:val="mk-MK" w:bidi="mk-MK"/>
        </w:rPr>
        <w:t xml:space="preserve">аклучоци за НДТ за гасификација и постројки за комбиниран циклус </w:t>
      </w:r>
      <w:r>
        <w:rPr>
          <w:rFonts w:cs="Calibri"/>
          <w:b/>
          <w:bCs/>
          <w:i/>
          <w:iCs/>
          <w:bdr w:val="nil"/>
          <w:lang w:val="mk-MK" w:bidi="mk-MK"/>
        </w:rPr>
        <w:t xml:space="preserve">со </w:t>
      </w:r>
      <w:r w:rsidR="00B16C04">
        <w:rPr>
          <w:rFonts w:cs="Calibri"/>
          <w:b/>
          <w:bCs/>
          <w:i/>
          <w:iCs/>
          <w:bdr w:val="nil"/>
          <w:lang w:val="mk-MK" w:bidi="mk-MK"/>
        </w:rPr>
        <w:t xml:space="preserve">интегрирана гасификација </w:t>
      </w:r>
    </w:p>
    <w:p w14:paraId="43EED3D2" w14:textId="788511F9" w:rsidR="00B16C23" w:rsidRDefault="008B3277" w:rsidP="00B16C23">
      <w:pPr>
        <w:rPr>
          <w:lang w:val="ro-RO"/>
        </w:rPr>
      </w:pPr>
      <w:r>
        <w:rPr>
          <w:rFonts w:cs="Calibri"/>
          <w:bdr w:val="nil"/>
          <w:lang w:val="mk-MK" w:bidi="mk-MK"/>
        </w:rPr>
        <w:t>(Поглавје</w:t>
      </w:r>
      <w:r w:rsidR="00B16C04">
        <w:rPr>
          <w:rFonts w:cs="Calibri"/>
          <w:bdr w:val="nil"/>
          <w:lang w:val="mk-MK" w:bidi="mk-MK"/>
        </w:rPr>
        <w:t xml:space="preserve"> 10.7, НДТ 82-85, нивоа</w:t>
      </w:r>
      <w:r>
        <w:rPr>
          <w:rFonts w:cs="Calibri"/>
          <w:bdr w:val="nil"/>
          <w:lang w:val="mk-MK" w:bidi="mk-MK"/>
        </w:rPr>
        <w:t>та</w:t>
      </w:r>
      <w:r w:rsidR="00B16C04">
        <w:rPr>
          <w:rFonts w:cs="Calibri"/>
          <w:bdr w:val="nil"/>
          <w:lang w:val="mk-MK" w:bidi="mk-MK"/>
        </w:rPr>
        <w:t xml:space="preserve"> на емисии при НДТ </w:t>
      </w:r>
      <w:r>
        <w:rPr>
          <w:rFonts w:cs="Calibri"/>
          <w:bdr w:val="nil"/>
          <w:lang w:val="mk-MK" w:bidi="mk-MK"/>
        </w:rPr>
        <w:t xml:space="preserve">се дадени </w:t>
      </w:r>
      <w:r w:rsidR="00B16C04">
        <w:rPr>
          <w:rFonts w:cs="Calibri"/>
          <w:bdr w:val="nil"/>
          <w:lang w:val="mk-MK" w:bidi="mk-MK"/>
        </w:rPr>
        <w:t>во табели</w:t>
      </w:r>
      <w:r>
        <w:rPr>
          <w:rFonts w:cs="Calibri"/>
          <w:bdr w:val="nil"/>
          <w:lang w:val="mk-MK" w:bidi="mk-MK"/>
        </w:rPr>
        <w:t>те</w:t>
      </w:r>
      <w:r w:rsidR="00B16C04">
        <w:rPr>
          <w:rFonts w:cs="Calibri"/>
          <w:bdr w:val="nil"/>
          <w:lang w:val="mk-MK" w:bidi="mk-MK"/>
        </w:rPr>
        <w:t xml:space="preserve"> 10.55-10.57). Вакви инсталации нема во Македонија.  </w:t>
      </w:r>
    </w:p>
    <w:p w14:paraId="3C40F4A2" w14:textId="77777777" w:rsidR="00B16C23" w:rsidRPr="00E24B3D" w:rsidRDefault="00B16C23" w:rsidP="00B16C23">
      <w:pPr>
        <w:rPr>
          <w:lang w:val="ro-RO"/>
        </w:rPr>
      </w:pPr>
    </w:p>
    <w:p w14:paraId="22F5C06C" w14:textId="77777777" w:rsidR="00B16C23" w:rsidRDefault="00B16C04" w:rsidP="005748BE">
      <w:pPr>
        <w:pStyle w:val="Heading3"/>
        <w:numPr>
          <w:ilvl w:val="2"/>
          <w:numId w:val="5"/>
        </w:numPr>
        <w:rPr>
          <w:lang w:val="ro-RO"/>
        </w:rPr>
      </w:pPr>
      <w:bookmarkStart w:id="83" w:name="_Toc444009838"/>
      <w:r>
        <w:rPr>
          <w:rFonts w:eastAsia="Calibri" w:cs="Calibri"/>
          <w:szCs w:val="28"/>
          <w:bdr w:val="nil"/>
          <w:lang w:val="mk-MK" w:bidi="mk-MK"/>
        </w:rPr>
        <w:t>Мирис</w:t>
      </w:r>
      <w:bookmarkEnd w:id="83"/>
      <w:r>
        <w:rPr>
          <w:rFonts w:eastAsia="Calibri" w:cs="Calibri"/>
          <w:szCs w:val="28"/>
          <w:bdr w:val="nil"/>
          <w:lang w:val="mk-MK" w:bidi="mk-MK"/>
        </w:rPr>
        <w:t xml:space="preserve"> </w:t>
      </w:r>
    </w:p>
    <w:p w14:paraId="48E3B358" w14:textId="22FBF3C1" w:rsidR="00B16C23" w:rsidRDefault="00B16C04" w:rsidP="00B16C23">
      <w:pPr>
        <w:rPr>
          <w:lang w:val="ro-RO"/>
        </w:rPr>
      </w:pPr>
      <w:r>
        <w:rPr>
          <w:rFonts w:cs="Calibri"/>
          <w:bdr w:val="nil"/>
          <w:lang w:val="mk-MK" w:bidi="mk-MK"/>
        </w:rPr>
        <w:t>Емисии на мирис може да се јават при чувањ</w:t>
      </w:r>
      <w:r w:rsidR="008B3277">
        <w:rPr>
          <w:rFonts w:cs="Calibri"/>
          <w:bdr w:val="nil"/>
          <w:lang w:val="mk-MK" w:bidi="mk-MK"/>
        </w:rPr>
        <w:t>е и постапување со течни горив</w:t>
      </w:r>
      <w:r>
        <w:rPr>
          <w:rFonts w:cs="Calibri"/>
          <w:bdr w:val="nil"/>
          <w:lang w:val="mk-MK" w:bidi="mk-MK"/>
        </w:rPr>
        <w:t>а</w:t>
      </w:r>
      <w:r w:rsidR="008B3277">
        <w:rPr>
          <w:rFonts w:cs="Calibri"/>
          <w:bdr w:val="nil"/>
          <w:lang w:val="mk-MK" w:bidi="mk-MK"/>
        </w:rPr>
        <w:t xml:space="preserve"> </w:t>
      </w:r>
      <w:r>
        <w:rPr>
          <w:rFonts w:cs="Calibri"/>
          <w:bdr w:val="nil"/>
          <w:lang w:val="mk-MK" w:bidi="mk-MK"/>
        </w:rPr>
        <w:t xml:space="preserve">и / или биомаса. </w:t>
      </w:r>
      <w:r w:rsidR="008B3277">
        <w:rPr>
          <w:rFonts w:cs="Calibri"/>
          <w:bdr w:val="nil"/>
          <w:lang w:val="mk-MK" w:bidi="mk-MK"/>
        </w:rPr>
        <w:t xml:space="preserve"> Во Поглавје 10.1.5 опишани се н</w:t>
      </w:r>
      <w:r>
        <w:rPr>
          <w:rFonts w:cs="Calibri"/>
          <w:bdr w:val="nil"/>
          <w:lang w:val="mk-MK" w:bidi="mk-MK"/>
        </w:rPr>
        <w:t xml:space="preserve">ајдобрите достапни техники за намалување на емисиите во воздухот </w:t>
      </w:r>
      <w:r w:rsidR="0027066B">
        <w:rPr>
          <w:rFonts w:cs="Calibri"/>
          <w:bdr w:val="nil"/>
          <w:lang w:val="mk-MK" w:bidi="mk-MK"/>
        </w:rPr>
        <w:t>од</w:t>
      </w:r>
      <w:r>
        <w:rPr>
          <w:rFonts w:cs="Calibri"/>
          <w:bdr w:val="nil"/>
          <w:lang w:val="mk-MK" w:bidi="mk-MK"/>
        </w:rPr>
        <w:t xml:space="preserve"> испарливи органски соединенија </w:t>
      </w:r>
      <w:r w:rsidR="0027066B">
        <w:rPr>
          <w:rFonts w:cs="Calibri"/>
          <w:bdr w:val="nil"/>
          <w:lang w:val="mk-MK" w:bidi="mk-MK"/>
        </w:rPr>
        <w:t xml:space="preserve">при </w:t>
      </w:r>
      <w:r>
        <w:rPr>
          <w:rFonts w:cs="Calibri"/>
          <w:bdr w:val="nil"/>
          <w:lang w:val="mk-MK" w:bidi="mk-MK"/>
        </w:rPr>
        <w:t xml:space="preserve">чувањето на течни горива (НДТ 8).  Во овие случаи исто така мора да се примени и НДТ </w:t>
      </w:r>
      <w:r w:rsidR="0027066B">
        <w:rPr>
          <w:rFonts w:cs="Calibri"/>
          <w:bdr w:val="nil"/>
          <w:lang w:val="mk-MK" w:bidi="mk-MK"/>
        </w:rPr>
        <w:t>од</w:t>
      </w:r>
      <w:r>
        <w:rPr>
          <w:rFonts w:cs="Calibri"/>
          <w:bdr w:val="nil"/>
          <w:lang w:val="mk-MK" w:bidi="mk-MK"/>
        </w:rPr>
        <w:t xml:space="preserve"> „Референтниот документ за најдобрите достапни техники за емисии од складирање“. </w:t>
      </w:r>
    </w:p>
    <w:p w14:paraId="62641514" w14:textId="241408FD" w:rsidR="00B16C23" w:rsidRDefault="0027066B" w:rsidP="00B16C23">
      <w:pPr>
        <w:rPr>
          <w:lang w:val="ro-RO"/>
        </w:rPr>
      </w:pPr>
      <w:r>
        <w:rPr>
          <w:rFonts w:cs="Calibri"/>
          <w:bdr w:val="nil"/>
          <w:lang w:val="mk-MK" w:bidi="mk-MK"/>
        </w:rPr>
        <w:t>Во НДТ 9 опишани се н</w:t>
      </w:r>
      <w:r w:rsidR="00B16C04">
        <w:rPr>
          <w:rFonts w:cs="Calibri"/>
          <w:bdr w:val="nil"/>
          <w:lang w:val="mk-MK" w:bidi="mk-MK"/>
        </w:rPr>
        <w:t xml:space="preserve">ајдобрите достапни техники за намалување на дифузните емисии во воздухот, вклучувајќи ги и миризливите супстанции кои се емитуваат при истоварање, чување и ракување со горива, отпад и адитиви.  Исто така може да се примени и НДТ 71 за чување и постапување на отпад кој треба да се ко-согори.   </w:t>
      </w:r>
    </w:p>
    <w:p w14:paraId="34897F80" w14:textId="77777777" w:rsidR="00B16C23" w:rsidRDefault="00B16C04" w:rsidP="005748BE">
      <w:pPr>
        <w:pStyle w:val="Heading3"/>
        <w:numPr>
          <w:ilvl w:val="2"/>
          <w:numId w:val="5"/>
        </w:numPr>
        <w:rPr>
          <w:lang w:val="ro-RO"/>
        </w:rPr>
      </w:pPr>
      <w:bookmarkStart w:id="84" w:name="_Toc429501992"/>
      <w:bookmarkStart w:id="85" w:name="_Toc444009839"/>
      <w:r>
        <w:rPr>
          <w:rFonts w:eastAsia="Calibri" w:cs="Calibri"/>
          <w:szCs w:val="28"/>
          <w:bdr w:val="nil"/>
          <w:lang w:val="mk-MK" w:bidi="mk-MK"/>
        </w:rPr>
        <w:lastRenderedPageBreak/>
        <w:t>Стакленички гасови (гасови кои предизвикуваат ефект на стаклена градина)</w:t>
      </w:r>
      <w:bookmarkEnd w:id="84"/>
      <w:bookmarkEnd w:id="85"/>
    </w:p>
    <w:p w14:paraId="19ED262C" w14:textId="7252430D" w:rsidR="00B16C23" w:rsidRPr="00623485" w:rsidRDefault="00B16C04" w:rsidP="00B16C23">
      <w:pPr>
        <w:pStyle w:val="NoSpacing"/>
        <w:spacing w:after="200" w:line="276" w:lineRule="auto"/>
        <w:jc w:val="both"/>
        <w:rPr>
          <w:lang w:val="mk-MK"/>
        </w:rPr>
      </w:pPr>
      <w:r>
        <w:rPr>
          <w:rFonts w:cs="Calibri"/>
          <w:bdr w:val="nil"/>
          <w:lang w:val="mk-MK" w:bidi="mk-MK"/>
        </w:rPr>
        <w:t xml:space="preserve">Емисиите на стакленички гасови не </w:t>
      </w:r>
      <w:r w:rsidR="00BB5E98">
        <w:rPr>
          <w:rFonts w:cs="Calibri"/>
          <w:bdr w:val="nil"/>
          <w:lang w:val="mk-MK" w:bidi="mk-MK"/>
        </w:rPr>
        <w:t>се регулирани</w:t>
      </w:r>
      <w:r>
        <w:rPr>
          <w:rFonts w:cs="Calibri"/>
          <w:bdr w:val="nil"/>
          <w:lang w:val="mk-MK" w:bidi="mk-MK"/>
        </w:rPr>
        <w:t xml:space="preserve"> со </w:t>
      </w:r>
      <w:r w:rsidR="003528C6">
        <w:rPr>
          <w:rFonts w:cs="Calibri"/>
          <w:bdr w:val="nil"/>
          <w:lang w:val="mk-MK" w:bidi="mk-MK"/>
        </w:rPr>
        <w:t xml:space="preserve">БРЕФ </w:t>
      </w:r>
      <w:r>
        <w:rPr>
          <w:rFonts w:cs="Calibri"/>
          <w:bdr w:val="nil"/>
          <w:lang w:val="mk-MK" w:bidi="mk-MK"/>
        </w:rPr>
        <w:t xml:space="preserve">туку со други релевантни инструменти на ЕУ како на пример со Системот за тргување со емисии. </w:t>
      </w:r>
      <w:r w:rsidR="007E4A7A">
        <w:rPr>
          <w:rFonts w:cs="Calibri"/>
          <w:bdr w:val="nil"/>
          <w:lang w:val="mk-MK" w:bidi="mk-MK"/>
        </w:rPr>
        <w:t xml:space="preserve"> Сепак, општото П</w:t>
      </w:r>
      <w:r w:rsidR="00BB5E98">
        <w:rPr>
          <w:rFonts w:cs="Calibri"/>
          <w:bdr w:val="nil"/>
          <w:lang w:val="mk-MK" w:bidi="mk-MK"/>
        </w:rPr>
        <w:t xml:space="preserve">оглавје 10.1.4 во </w:t>
      </w:r>
      <w:r>
        <w:rPr>
          <w:rFonts w:cs="Calibri"/>
          <w:bdr w:val="nil"/>
          <w:lang w:val="mk-MK" w:bidi="mk-MK"/>
        </w:rPr>
        <w:t xml:space="preserve">НДТ 7 (енергетската ефикасност) може да се примени за </w:t>
      </w:r>
      <w:r w:rsidR="00BB5E98">
        <w:rPr>
          <w:rFonts w:cs="Calibri"/>
          <w:bdr w:val="nil"/>
          <w:lang w:val="mk-MK" w:bidi="mk-MK"/>
        </w:rPr>
        <w:t>постројки</w:t>
      </w:r>
      <w:r>
        <w:rPr>
          <w:rFonts w:cs="Calibri"/>
          <w:bdr w:val="nil"/>
          <w:lang w:val="mk-MK" w:bidi="mk-MK"/>
        </w:rPr>
        <w:t xml:space="preserve"> и инсталации за согорување. </w:t>
      </w:r>
    </w:p>
    <w:p w14:paraId="39DE2334" w14:textId="197AB758" w:rsidR="00B16C23" w:rsidRDefault="00B16C04" w:rsidP="00B16C23">
      <w:pPr>
        <w:pStyle w:val="NoSpacing"/>
        <w:spacing w:after="200" w:line="276" w:lineRule="auto"/>
        <w:jc w:val="both"/>
        <w:rPr>
          <w:lang w:val="ro-RO"/>
        </w:rPr>
      </w:pPr>
      <w:r>
        <w:rPr>
          <w:rFonts w:cs="Calibri"/>
          <w:bdr w:val="nil"/>
          <w:lang w:val="mk-MK" w:bidi="mk-MK"/>
        </w:rPr>
        <w:t xml:space="preserve">Во различни НДТ во </w:t>
      </w:r>
      <w:r w:rsidR="003528C6">
        <w:rPr>
          <w:rFonts w:cs="Calibri"/>
          <w:bdr w:val="nil"/>
          <w:lang w:val="mk-MK" w:bidi="mk-MK"/>
        </w:rPr>
        <w:t xml:space="preserve">БРЕФ </w:t>
      </w:r>
      <w:r>
        <w:rPr>
          <w:rFonts w:cs="Calibri"/>
          <w:bdr w:val="nil"/>
          <w:lang w:val="mk-MK" w:bidi="mk-MK"/>
        </w:rPr>
        <w:t xml:space="preserve">за големи постројки </w:t>
      </w:r>
      <w:r w:rsidR="00BB5E98">
        <w:rPr>
          <w:rFonts w:cs="Calibri"/>
          <w:bdr w:val="nil"/>
          <w:lang w:val="mk-MK" w:bidi="mk-MK"/>
        </w:rPr>
        <w:t>за согорување постојат и други н</w:t>
      </w:r>
      <w:r>
        <w:rPr>
          <w:rFonts w:cs="Calibri"/>
          <w:bdr w:val="nil"/>
          <w:lang w:val="mk-MK" w:bidi="mk-MK"/>
        </w:rPr>
        <w:t>ајдобри достапни техники за подобрување на енергетската ефикасност (НДТ 18, 25, 31, 35, 40, 44, 51, 64, 73, 82).</w:t>
      </w:r>
    </w:p>
    <w:p w14:paraId="19F944BB" w14:textId="77777777" w:rsidR="00B16C23" w:rsidRDefault="00B16C04" w:rsidP="005748BE">
      <w:pPr>
        <w:pStyle w:val="Heading2"/>
        <w:numPr>
          <w:ilvl w:val="1"/>
          <w:numId w:val="5"/>
        </w:numPr>
        <w:rPr>
          <w:lang w:val="ro-RO"/>
        </w:rPr>
      </w:pPr>
      <w:bookmarkStart w:id="86" w:name="_Toc444009840"/>
      <w:r>
        <w:rPr>
          <w:rFonts w:eastAsia="Calibri" w:cs="Calibri"/>
          <w:szCs w:val="32"/>
          <w:bdr w:val="nil"/>
          <w:lang w:val="mk-MK" w:bidi="mk-MK"/>
        </w:rPr>
        <w:t>Бучава и вибрации</w:t>
      </w:r>
      <w:bookmarkEnd w:id="86"/>
      <w:r>
        <w:rPr>
          <w:rFonts w:eastAsia="Calibri" w:cs="Calibri"/>
          <w:szCs w:val="32"/>
          <w:bdr w:val="nil"/>
          <w:lang w:val="mk-MK" w:bidi="mk-MK"/>
        </w:rPr>
        <w:t xml:space="preserve"> </w:t>
      </w:r>
    </w:p>
    <w:p w14:paraId="0ACE6E50" w14:textId="1F02319E" w:rsidR="00B16C23" w:rsidRPr="00F81C30" w:rsidRDefault="00B16C04" w:rsidP="00B16C23">
      <w:pPr>
        <w:rPr>
          <w:lang w:val="ro-RO"/>
        </w:rPr>
      </w:pPr>
      <w:r>
        <w:rPr>
          <w:rFonts w:cs="Calibri"/>
          <w:bdr w:val="nil"/>
          <w:lang w:val="mk-MK" w:bidi="mk-MK"/>
        </w:rPr>
        <w:t>Бучавата и вибрациите се чести проблеми кои се јавуваат при работата на големи</w:t>
      </w:r>
      <w:r w:rsidR="00FD5EAA">
        <w:rPr>
          <w:rFonts w:cs="Calibri"/>
          <w:bdr w:val="nil"/>
          <w:lang w:val="mk-MK" w:bidi="mk-MK"/>
        </w:rPr>
        <w:t>те</w:t>
      </w:r>
      <w:r>
        <w:rPr>
          <w:rFonts w:cs="Calibri"/>
          <w:bdr w:val="nil"/>
          <w:lang w:val="mk-MK" w:bidi="mk-MK"/>
        </w:rPr>
        <w:t xml:space="preserve"> постројки за согорување.  </w:t>
      </w:r>
      <w:r w:rsidR="00BB5E98">
        <w:rPr>
          <w:rFonts w:cs="Calibri"/>
          <w:bdr w:val="nil"/>
          <w:lang w:val="mk-MK" w:bidi="mk-MK"/>
        </w:rPr>
        <w:t>Б</w:t>
      </w:r>
      <w:r>
        <w:rPr>
          <w:rFonts w:cs="Calibri"/>
          <w:bdr w:val="nil"/>
          <w:lang w:val="mk-MK" w:bidi="mk-MK"/>
        </w:rPr>
        <w:t xml:space="preserve">учава и вибрации </w:t>
      </w:r>
      <w:r w:rsidR="00BB5E98">
        <w:rPr>
          <w:rFonts w:cs="Calibri"/>
          <w:bdr w:val="nil"/>
          <w:lang w:val="mk-MK" w:bidi="mk-MK"/>
        </w:rPr>
        <w:t xml:space="preserve">најчесто се јавуваат при </w:t>
      </w:r>
      <w:r>
        <w:rPr>
          <w:rFonts w:cs="Calibri"/>
          <w:bdr w:val="nil"/>
          <w:lang w:val="mk-MK" w:bidi="mk-MK"/>
        </w:rPr>
        <w:t xml:space="preserve">транспорт и ракувањето со горивата, остатоците и нуспроизводите, </w:t>
      </w:r>
      <w:r w:rsidR="00FD5EAA">
        <w:rPr>
          <w:rFonts w:cs="Calibri"/>
          <w:bdr w:val="nil"/>
          <w:lang w:val="mk-MK" w:bidi="mk-MK"/>
        </w:rPr>
        <w:t xml:space="preserve">при </w:t>
      </w:r>
      <w:r>
        <w:rPr>
          <w:rFonts w:cs="Calibri"/>
          <w:bdr w:val="nil"/>
          <w:lang w:val="mk-MK" w:bidi="mk-MK"/>
        </w:rPr>
        <w:t>употреба н</w:t>
      </w:r>
      <w:r w:rsidR="00FD5EAA">
        <w:rPr>
          <w:rFonts w:cs="Calibri"/>
          <w:bdr w:val="nil"/>
          <w:lang w:val="mk-MK" w:bidi="mk-MK"/>
        </w:rPr>
        <w:t>а</w:t>
      </w:r>
      <w:r>
        <w:rPr>
          <w:rFonts w:cs="Calibri"/>
          <w:bdr w:val="nil"/>
          <w:lang w:val="mk-MK" w:bidi="mk-MK"/>
        </w:rPr>
        <w:t xml:space="preserve"> големи пумпи и вентилатори, </w:t>
      </w:r>
      <w:r w:rsidR="00FD5EAA">
        <w:rPr>
          <w:rFonts w:cs="Calibri"/>
          <w:bdr w:val="nil"/>
          <w:lang w:val="mk-MK" w:bidi="mk-MK"/>
        </w:rPr>
        <w:t xml:space="preserve">од работата на </w:t>
      </w:r>
      <w:r>
        <w:rPr>
          <w:rFonts w:cs="Calibri"/>
          <w:bdr w:val="nil"/>
          <w:lang w:val="mk-MK" w:bidi="mk-MK"/>
        </w:rPr>
        <w:t>безбедносни</w:t>
      </w:r>
      <w:r w:rsidR="00FD5EAA">
        <w:rPr>
          <w:rFonts w:cs="Calibri"/>
          <w:bdr w:val="nil"/>
          <w:lang w:val="mk-MK" w:bidi="mk-MK"/>
        </w:rPr>
        <w:t>те</w:t>
      </w:r>
      <w:r>
        <w:rPr>
          <w:rFonts w:cs="Calibri"/>
          <w:bdr w:val="nil"/>
          <w:lang w:val="mk-MK" w:bidi="mk-MK"/>
        </w:rPr>
        <w:t xml:space="preserve"> вентили, </w:t>
      </w:r>
      <w:r w:rsidR="00FD5EAA">
        <w:rPr>
          <w:rFonts w:cs="Calibri"/>
          <w:bdr w:val="nil"/>
          <w:lang w:val="mk-MK" w:bidi="mk-MK"/>
        </w:rPr>
        <w:t xml:space="preserve">од </w:t>
      </w:r>
      <w:r>
        <w:rPr>
          <w:rFonts w:cs="Calibri"/>
          <w:bdr w:val="nil"/>
          <w:lang w:val="mk-MK" w:bidi="mk-MK"/>
        </w:rPr>
        <w:t>техники</w:t>
      </w:r>
      <w:r w:rsidR="00FD5EAA">
        <w:rPr>
          <w:rFonts w:cs="Calibri"/>
          <w:bdr w:val="nil"/>
          <w:lang w:val="mk-MK" w:bidi="mk-MK"/>
        </w:rPr>
        <w:t>те</w:t>
      </w:r>
      <w:r>
        <w:rPr>
          <w:rFonts w:cs="Calibri"/>
          <w:bdr w:val="nil"/>
          <w:lang w:val="mk-MK" w:bidi="mk-MK"/>
        </w:rPr>
        <w:t xml:space="preserve"> за ладење и </w:t>
      </w:r>
      <w:r w:rsidR="00FD5EAA">
        <w:rPr>
          <w:rFonts w:cs="Calibri"/>
          <w:bdr w:val="nil"/>
          <w:lang w:val="mk-MK" w:bidi="mk-MK"/>
        </w:rPr>
        <w:t xml:space="preserve">од работата на </w:t>
      </w:r>
      <w:r>
        <w:rPr>
          <w:rFonts w:cs="Calibri"/>
          <w:bdr w:val="nil"/>
          <w:lang w:val="mk-MK" w:bidi="mk-MK"/>
        </w:rPr>
        <w:t>парни</w:t>
      </w:r>
      <w:r w:rsidR="00FD5EAA">
        <w:rPr>
          <w:rFonts w:cs="Calibri"/>
          <w:bdr w:val="nil"/>
          <w:lang w:val="mk-MK" w:bidi="mk-MK"/>
        </w:rPr>
        <w:t>те</w:t>
      </w:r>
      <w:r>
        <w:rPr>
          <w:rFonts w:cs="Calibri"/>
          <w:bdr w:val="nil"/>
          <w:lang w:val="mk-MK" w:bidi="mk-MK"/>
        </w:rPr>
        <w:t xml:space="preserve"> и гасни</w:t>
      </w:r>
      <w:r w:rsidR="00FD5EAA">
        <w:rPr>
          <w:rFonts w:cs="Calibri"/>
          <w:bdr w:val="nil"/>
          <w:lang w:val="mk-MK" w:bidi="mk-MK"/>
        </w:rPr>
        <w:t>те</w:t>
      </w:r>
      <w:r>
        <w:rPr>
          <w:rFonts w:cs="Calibri"/>
          <w:bdr w:val="nil"/>
          <w:lang w:val="mk-MK" w:bidi="mk-MK"/>
        </w:rPr>
        <w:t xml:space="preserve"> турбини.  Влијанието на бучавата од големи</w:t>
      </w:r>
      <w:r w:rsidR="00FD5EAA">
        <w:rPr>
          <w:rFonts w:cs="Calibri"/>
          <w:bdr w:val="nil"/>
          <w:lang w:val="mk-MK" w:bidi="mk-MK"/>
        </w:rPr>
        <w:t>те</w:t>
      </w:r>
      <w:r>
        <w:rPr>
          <w:rFonts w:cs="Calibri"/>
          <w:bdr w:val="nil"/>
          <w:lang w:val="mk-MK" w:bidi="mk-MK"/>
        </w:rPr>
        <w:t xml:space="preserve"> постројки за согорување е ограничено на подрачјето кое е релативно блиску до инсталацијата. </w:t>
      </w:r>
    </w:p>
    <w:p w14:paraId="2C6AA544" w14:textId="2307F5E1" w:rsidR="00B16C23" w:rsidRDefault="007E4A7A" w:rsidP="00B16C23">
      <w:pPr>
        <w:rPr>
          <w:lang w:val="ro-RO"/>
        </w:rPr>
      </w:pPr>
      <w:r>
        <w:rPr>
          <w:rFonts w:cs="Calibri"/>
          <w:bdr w:val="nil"/>
          <w:lang w:val="mk-MK" w:bidi="mk-MK"/>
        </w:rPr>
        <w:t>Во П</w:t>
      </w:r>
      <w:r w:rsidR="00B16C04">
        <w:rPr>
          <w:rFonts w:cs="Calibri"/>
          <w:bdr w:val="nil"/>
          <w:lang w:val="mk-MK" w:bidi="mk-MK"/>
        </w:rPr>
        <w:t xml:space="preserve">оглавје 10.1.8 од </w:t>
      </w:r>
      <w:r w:rsidR="003528C6">
        <w:rPr>
          <w:rFonts w:cs="Calibri"/>
          <w:bdr w:val="nil"/>
          <w:lang w:val="mk-MK" w:bidi="mk-MK"/>
        </w:rPr>
        <w:t xml:space="preserve">БРЕФ </w:t>
      </w:r>
      <w:r w:rsidR="00B16C04">
        <w:rPr>
          <w:rFonts w:cs="Calibri"/>
          <w:bdr w:val="nil"/>
          <w:lang w:val="mk-MK" w:bidi="mk-MK"/>
        </w:rPr>
        <w:t>за големи постројки за согорување дадени се НДТ за намалување на емисиите на бучава од релевантните извори во постројките за согорување (на пр. од дувачите на саѓи во котлите, од толч</w:t>
      </w:r>
      <w:r w:rsidR="00FD5EAA">
        <w:rPr>
          <w:rFonts w:cs="Calibri"/>
          <w:bdr w:val="nil"/>
          <w:lang w:val="mk-MK" w:bidi="mk-MK"/>
        </w:rPr>
        <w:t xml:space="preserve">ниците </w:t>
      </w:r>
      <w:r w:rsidR="00B16C04">
        <w:rPr>
          <w:rFonts w:cs="Calibri"/>
          <w:bdr w:val="nil"/>
          <w:lang w:val="mk-MK" w:bidi="mk-MK"/>
        </w:rPr>
        <w:t>и секачите, од пневматскиот пренос на гориво до горилникот</w:t>
      </w:r>
      <w:r w:rsidR="00FD5EAA">
        <w:rPr>
          <w:rFonts w:cs="Calibri"/>
          <w:bdr w:val="nil"/>
          <w:lang w:val="mk-MK" w:bidi="mk-MK"/>
        </w:rPr>
        <w:t xml:space="preserve"> итн.</w:t>
      </w:r>
      <w:r w:rsidR="00B16C04">
        <w:rPr>
          <w:rFonts w:cs="Calibri"/>
          <w:bdr w:val="nil"/>
          <w:lang w:val="mk-MK" w:bidi="mk-MK"/>
        </w:rPr>
        <w:t>) (НДТ 14).</w:t>
      </w:r>
    </w:p>
    <w:p w14:paraId="1252F002" w14:textId="63084431" w:rsidR="00B16C23" w:rsidRDefault="00B16C04" w:rsidP="00B16C23">
      <w:pPr>
        <w:rPr>
          <w:lang w:val="ro-RO"/>
        </w:rPr>
      </w:pPr>
      <w:r>
        <w:rPr>
          <w:rFonts w:cs="Calibri"/>
          <w:bdr w:val="nil"/>
          <w:lang w:val="mk-MK" w:bidi="mk-MK"/>
        </w:rPr>
        <w:t xml:space="preserve">Најважни НДТ за </w:t>
      </w:r>
      <w:r w:rsidR="00FD5EAA">
        <w:rPr>
          <w:rFonts w:cs="Calibri"/>
          <w:bdr w:val="nil"/>
          <w:lang w:val="mk-MK" w:bidi="mk-MK"/>
        </w:rPr>
        <w:t xml:space="preserve">ублажување на </w:t>
      </w:r>
      <w:r>
        <w:rPr>
          <w:rFonts w:cs="Calibri"/>
          <w:bdr w:val="nil"/>
          <w:lang w:val="mk-MK" w:bidi="mk-MK"/>
        </w:rPr>
        <w:t xml:space="preserve">овој проблем се стратешко планирање на локацијата, </w:t>
      </w:r>
      <w:r w:rsidR="00FD5EAA">
        <w:rPr>
          <w:rFonts w:cs="Calibri"/>
          <w:bdr w:val="nil"/>
          <w:lang w:val="mk-MK" w:bidi="mk-MK"/>
        </w:rPr>
        <w:t xml:space="preserve">воведување на </w:t>
      </w:r>
      <w:r>
        <w:rPr>
          <w:rFonts w:cs="Calibri"/>
          <w:bdr w:val="nil"/>
          <w:lang w:val="mk-MK" w:bidi="mk-MK"/>
        </w:rPr>
        <w:t xml:space="preserve">програма за намалување на бучавата, </w:t>
      </w:r>
      <w:r w:rsidR="00FD5EAA">
        <w:rPr>
          <w:rFonts w:cs="Calibri"/>
          <w:bdr w:val="nil"/>
          <w:lang w:val="mk-MK" w:bidi="mk-MK"/>
        </w:rPr>
        <w:t xml:space="preserve">спроведување на </w:t>
      </w:r>
      <w:r>
        <w:rPr>
          <w:rFonts w:cs="Calibri"/>
          <w:bdr w:val="nil"/>
          <w:lang w:val="mk-MK" w:bidi="mk-MK"/>
        </w:rPr>
        <w:t>оперативни и управувачки тех</w:t>
      </w:r>
      <w:r w:rsidR="00FD5EAA">
        <w:rPr>
          <w:rFonts w:cs="Calibri"/>
          <w:bdr w:val="nil"/>
          <w:lang w:val="mk-MK" w:bidi="mk-MK"/>
        </w:rPr>
        <w:t>н</w:t>
      </w:r>
      <w:r>
        <w:rPr>
          <w:rFonts w:cs="Calibri"/>
          <w:bdr w:val="nil"/>
          <w:lang w:val="mk-MK" w:bidi="mk-MK"/>
        </w:rPr>
        <w:t xml:space="preserve">ики, </w:t>
      </w:r>
      <w:r w:rsidR="00FD5EAA">
        <w:rPr>
          <w:rFonts w:cs="Calibri"/>
          <w:bdr w:val="nil"/>
          <w:lang w:val="mk-MK" w:bidi="mk-MK"/>
        </w:rPr>
        <w:t xml:space="preserve">поставување на </w:t>
      </w:r>
      <w:r>
        <w:rPr>
          <w:rFonts w:cs="Calibri"/>
          <w:bdr w:val="nil"/>
          <w:lang w:val="mk-MK" w:bidi="mk-MK"/>
        </w:rPr>
        <w:t>намалувачи на бучава, изолација за вибрациите, затворање на</w:t>
      </w:r>
      <w:r w:rsidR="00FD5EAA">
        <w:rPr>
          <w:rFonts w:cs="Calibri"/>
          <w:bdr w:val="nil"/>
          <w:lang w:val="mk-MK" w:bidi="mk-MK"/>
        </w:rPr>
        <w:t xml:space="preserve"> бучната опрема, звучно изолирање на</w:t>
      </w:r>
      <w:r>
        <w:rPr>
          <w:rFonts w:cs="Calibri"/>
          <w:bdr w:val="nil"/>
          <w:lang w:val="mk-MK" w:bidi="mk-MK"/>
        </w:rPr>
        <w:t xml:space="preserve"> објекти</w:t>
      </w:r>
      <w:r w:rsidR="00FD5EAA">
        <w:rPr>
          <w:rFonts w:cs="Calibri"/>
          <w:bdr w:val="nil"/>
          <w:lang w:val="mk-MK" w:bidi="mk-MK"/>
        </w:rPr>
        <w:t>те</w:t>
      </w:r>
      <w:r>
        <w:rPr>
          <w:rFonts w:cs="Calibri"/>
          <w:bdr w:val="nil"/>
          <w:lang w:val="mk-MK" w:bidi="mk-MK"/>
        </w:rPr>
        <w:t xml:space="preserve"> и </w:t>
      </w:r>
      <w:r w:rsidR="00FD5EAA">
        <w:rPr>
          <w:rFonts w:cs="Calibri"/>
          <w:bdr w:val="nil"/>
          <w:lang w:val="mk-MK" w:bidi="mk-MK"/>
        </w:rPr>
        <w:t xml:space="preserve">самото </w:t>
      </w:r>
      <w:r>
        <w:rPr>
          <w:rFonts w:cs="Calibri"/>
          <w:bdr w:val="nil"/>
          <w:lang w:val="mk-MK" w:bidi="mk-MK"/>
        </w:rPr>
        <w:t xml:space="preserve">намалување на бучавата. </w:t>
      </w:r>
    </w:p>
    <w:p w14:paraId="12CE2916" w14:textId="77777777" w:rsidR="00B16C23" w:rsidRDefault="00B16C04" w:rsidP="005748BE">
      <w:pPr>
        <w:pStyle w:val="Heading2"/>
        <w:numPr>
          <w:ilvl w:val="1"/>
          <w:numId w:val="5"/>
        </w:numPr>
        <w:rPr>
          <w:lang w:val="ro-RO"/>
        </w:rPr>
      </w:pPr>
      <w:bookmarkStart w:id="87" w:name="_Toc444009841"/>
      <w:r>
        <w:rPr>
          <w:rFonts w:eastAsia="Calibri" w:cs="Calibri"/>
          <w:szCs w:val="32"/>
          <w:bdr w:val="nil"/>
          <w:lang w:val="mk-MK" w:bidi="mk-MK"/>
        </w:rPr>
        <w:t>Отпадни води</w:t>
      </w:r>
      <w:bookmarkEnd w:id="87"/>
    </w:p>
    <w:p w14:paraId="0A0AF8DA" w14:textId="0BE2E0EC" w:rsidR="00B16C23" w:rsidRPr="00F81C30" w:rsidRDefault="00FD5EAA" w:rsidP="00B16C23">
      <w:pPr>
        <w:rPr>
          <w:lang w:val="ro-RO"/>
        </w:rPr>
      </w:pPr>
      <w:r>
        <w:rPr>
          <w:rFonts w:cs="Calibri"/>
          <w:bdr w:val="nil"/>
          <w:lang w:val="mk-MK" w:bidi="mk-MK"/>
        </w:rPr>
        <w:t>Г</w:t>
      </w:r>
      <w:r w:rsidR="00B16C04">
        <w:rPr>
          <w:rFonts w:cs="Calibri"/>
          <w:bdr w:val="nil"/>
          <w:lang w:val="mk-MK" w:bidi="mk-MK"/>
        </w:rPr>
        <w:t>олеми</w:t>
      </w:r>
      <w:r>
        <w:rPr>
          <w:rFonts w:cs="Calibri"/>
          <w:bdr w:val="nil"/>
          <w:lang w:val="mk-MK" w:bidi="mk-MK"/>
        </w:rPr>
        <w:t>те</w:t>
      </w:r>
      <w:r w:rsidR="00B16C04">
        <w:rPr>
          <w:rFonts w:cs="Calibri"/>
          <w:bdr w:val="nil"/>
          <w:lang w:val="mk-MK" w:bidi="mk-MK"/>
        </w:rPr>
        <w:t xml:space="preserve"> постројки за согорување се исто така значаен извор на загадување на водите (</w:t>
      </w:r>
      <w:r>
        <w:rPr>
          <w:rFonts w:cs="Calibri"/>
          <w:bdr w:val="nil"/>
          <w:lang w:val="mk-MK" w:bidi="mk-MK"/>
        </w:rPr>
        <w:t xml:space="preserve">со </w:t>
      </w:r>
      <w:r w:rsidR="00B16C04">
        <w:rPr>
          <w:rFonts w:cs="Calibri"/>
          <w:bdr w:val="nil"/>
          <w:lang w:val="mk-MK" w:bidi="mk-MK"/>
        </w:rPr>
        <w:t>отпадни води и води за ладење). Во зависност од видот на горивото што се користи, техниката за ладење, техникит</w:t>
      </w:r>
      <w:r>
        <w:rPr>
          <w:rFonts w:cs="Calibri"/>
          <w:bdr w:val="nil"/>
          <w:lang w:val="mk-MK" w:bidi="mk-MK"/>
        </w:rPr>
        <w:t>е за намалување на влијанието, к</w:t>
      </w:r>
      <w:r w:rsidR="00B16C04">
        <w:rPr>
          <w:rFonts w:cs="Calibri"/>
          <w:bdr w:val="nil"/>
          <w:lang w:val="mk-MK" w:bidi="mk-MK"/>
        </w:rPr>
        <w:t>оличеството вода што се користи и реагенсите кои се додаваат за хемиски и биолошки третман како и за одржување, може да се јават проблеми со квалитетот на отпадните води.  Поради топлинската ефикасност на циклусот на согорување секогаш значителен дел од енергијата се губи како то</w:t>
      </w:r>
      <w:r>
        <w:rPr>
          <w:rFonts w:cs="Calibri"/>
          <w:bdr w:val="nil"/>
          <w:lang w:val="mk-MK" w:bidi="mk-MK"/>
        </w:rPr>
        <w:t>п</w:t>
      </w:r>
      <w:r w:rsidR="00B16C04">
        <w:rPr>
          <w:rFonts w:cs="Calibri"/>
          <w:bdr w:val="nil"/>
          <w:lang w:val="mk-MK" w:bidi="mk-MK"/>
        </w:rPr>
        <w:t xml:space="preserve">лина во околната вода.  Многу големи постројки за согорување трошат многу вода за ладење. </w:t>
      </w:r>
      <w:r>
        <w:rPr>
          <w:rFonts w:cs="Calibri"/>
          <w:bdr w:val="nil"/>
          <w:lang w:val="mk-MK" w:bidi="mk-MK"/>
        </w:rPr>
        <w:t>Д</w:t>
      </w:r>
      <w:r w:rsidR="00B16C04">
        <w:rPr>
          <w:rFonts w:cs="Calibri"/>
          <w:bdr w:val="nil"/>
          <w:lang w:val="mk-MK" w:bidi="mk-MK"/>
        </w:rPr>
        <w:t xml:space="preserve">озволите честопати </w:t>
      </w:r>
      <w:r>
        <w:rPr>
          <w:rFonts w:cs="Calibri"/>
          <w:bdr w:val="nil"/>
          <w:lang w:val="mk-MK" w:bidi="mk-MK"/>
        </w:rPr>
        <w:t xml:space="preserve">содржат </w:t>
      </w:r>
      <w:r w:rsidR="00B16C04">
        <w:rPr>
          <w:rFonts w:cs="Calibri"/>
          <w:bdr w:val="nil"/>
          <w:lang w:val="mk-MK" w:bidi="mk-MK"/>
        </w:rPr>
        <w:t>ограничувања за испуштање на отпадните води со цел да се спреч</w:t>
      </w:r>
      <w:r>
        <w:rPr>
          <w:rFonts w:cs="Calibri"/>
          <w:bdr w:val="nil"/>
          <w:lang w:val="mk-MK" w:bidi="mk-MK"/>
        </w:rPr>
        <w:t>и загревање на приемните води.  Р</w:t>
      </w:r>
      <w:r w:rsidR="00B16C04">
        <w:rPr>
          <w:rFonts w:cs="Calibri"/>
          <w:bdr w:val="nil"/>
          <w:lang w:val="mk-MK" w:bidi="mk-MK"/>
        </w:rPr>
        <w:t xml:space="preserve">елевантните параметри за загадување се дадени во </w:t>
      </w:r>
      <w:r w:rsidR="003528C6">
        <w:rPr>
          <w:rFonts w:cs="Calibri"/>
          <w:bdr w:val="nil"/>
          <w:lang w:val="mk-MK" w:bidi="mk-MK"/>
        </w:rPr>
        <w:t xml:space="preserve">БРЕФ </w:t>
      </w:r>
      <w:r w:rsidR="00B16C04">
        <w:rPr>
          <w:rFonts w:cs="Calibri"/>
          <w:bdr w:val="nil"/>
          <w:lang w:val="mk-MK" w:bidi="mk-MK"/>
        </w:rPr>
        <w:t xml:space="preserve">за големи постројки за согорување (Поглавје 1.3.3) и тие </w:t>
      </w:r>
      <w:r>
        <w:rPr>
          <w:rFonts w:cs="Calibri"/>
          <w:bdr w:val="nil"/>
          <w:lang w:val="mk-MK" w:bidi="mk-MK"/>
        </w:rPr>
        <w:t xml:space="preserve">се </w:t>
      </w:r>
      <w:r w:rsidR="00B16C04">
        <w:rPr>
          <w:rFonts w:cs="Calibri"/>
          <w:bdr w:val="nil"/>
          <w:lang w:val="mk-MK" w:bidi="mk-MK"/>
        </w:rPr>
        <w:t>различни за различни инсталации</w:t>
      </w:r>
      <w:r>
        <w:rPr>
          <w:rFonts w:cs="Calibri"/>
          <w:bdr w:val="nil"/>
          <w:lang w:val="mk-MK" w:bidi="mk-MK"/>
        </w:rPr>
        <w:t>.</w:t>
      </w:r>
      <w:r w:rsidR="00B16C04">
        <w:rPr>
          <w:rFonts w:cs="Calibri"/>
          <w:bdr w:val="nil"/>
          <w:lang w:val="mk-MK" w:bidi="mk-MK"/>
        </w:rPr>
        <w:t xml:space="preserve"> </w:t>
      </w:r>
    </w:p>
    <w:p w14:paraId="61F97E16" w14:textId="417E5977" w:rsidR="00B16C23" w:rsidRDefault="00E26AEC" w:rsidP="00B16C23">
      <w:pPr>
        <w:rPr>
          <w:lang w:val="ro-RO"/>
        </w:rPr>
      </w:pPr>
      <w:r>
        <w:rPr>
          <w:rFonts w:cs="Calibri"/>
          <w:bdr w:val="nil"/>
          <w:lang w:val="mk-MK" w:bidi="mk-MK"/>
        </w:rPr>
        <w:lastRenderedPageBreak/>
        <w:t>Во Поглавје 10.1.6 дадени се н</w:t>
      </w:r>
      <w:r w:rsidR="00B16C04">
        <w:rPr>
          <w:rFonts w:cs="Calibri"/>
          <w:bdr w:val="nil"/>
          <w:lang w:val="mk-MK" w:bidi="mk-MK"/>
        </w:rPr>
        <w:t xml:space="preserve">ајдобрите достапни техники за намалување на потрошувачка на вода и на количеството на контаминирана вода </w:t>
      </w:r>
      <w:r>
        <w:rPr>
          <w:rFonts w:cs="Calibri"/>
          <w:bdr w:val="nil"/>
          <w:lang w:val="mk-MK" w:bidi="mk-MK"/>
        </w:rPr>
        <w:t>(НДТ 10).  Во НДТ 11 дадени се н</w:t>
      </w:r>
      <w:r w:rsidR="00B16C04">
        <w:rPr>
          <w:rFonts w:cs="Calibri"/>
          <w:bdr w:val="nil"/>
          <w:lang w:val="mk-MK" w:bidi="mk-MK"/>
        </w:rPr>
        <w:t>ајдобрите достапни техники за намалување на емисиите на загадувачки материи во приемните води (механички третман, физичко-хемиски третман, ис</w:t>
      </w:r>
      <w:r w:rsidR="007E4A7A">
        <w:rPr>
          <w:rFonts w:cs="Calibri"/>
          <w:bdr w:val="nil"/>
          <w:lang w:val="mk-MK" w:bidi="mk-MK"/>
        </w:rPr>
        <w:t>пуштање на нула-течности).  Во т</w:t>
      </w:r>
      <w:r w:rsidR="00B16C04">
        <w:rPr>
          <w:rFonts w:cs="Calibri"/>
          <w:bdr w:val="nil"/>
          <w:lang w:val="mk-MK" w:bidi="mk-MK"/>
        </w:rPr>
        <w:t xml:space="preserve">абела 10.1 дадени се нивоата на емисии при НДТ во водата </w:t>
      </w:r>
      <w:r>
        <w:rPr>
          <w:rFonts w:cs="Calibri"/>
          <w:bdr w:val="nil"/>
          <w:lang w:val="mk-MK" w:bidi="mk-MK"/>
        </w:rPr>
        <w:t xml:space="preserve">која се испушта </w:t>
      </w:r>
      <w:r w:rsidR="00B16C04">
        <w:rPr>
          <w:rFonts w:cs="Calibri"/>
          <w:bdr w:val="nil"/>
          <w:lang w:val="mk-MK" w:bidi="mk-MK"/>
        </w:rPr>
        <w:t xml:space="preserve">од инсталациите за согорување кои имаат техники за водено намалување на емисиите на загадувачки материи во </w:t>
      </w:r>
      <w:r>
        <w:rPr>
          <w:rFonts w:cs="Calibri"/>
          <w:bdr w:val="nil"/>
          <w:lang w:val="mk-MK" w:bidi="mk-MK"/>
        </w:rPr>
        <w:t>воздухот</w:t>
      </w:r>
      <w:r w:rsidR="00B16C04">
        <w:rPr>
          <w:rFonts w:cs="Calibri"/>
          <w:bdr w:val="nil"/>
          <w:lang w:val="mk-MK" w:bidi="mk-MK"/>
        </w:rPr>
        <w:t xml:space="preserve">. </w:t>
      </w:r>
    </w:p>
    <w:p w14:paraId="3B67095B" w14:textId="7202E8AE" w:rsidR="00B16C23" w:rsidRDefault="00B16C04" w:rsidP="005748BE">
      <w:pPr>
        <w:pStyle w:val="Heading2"/>
        <w:numPr>
          <w:ilvl w:val="1"/>
          <w:numId w:val="5"/>
        </w:numPr>
        <w:rPr>
          <w:lang w:val="ro-RO"/>
        </w:rPr>
      </w:pPr>
      <w:bookmarkStart w:id="88" w:name="_Toc444009842"/>
      <w:r>
        <w:rPr>
          <w:rFonts w:eastAsia="Calibri" w:cs="Calibri"/>
          <w:szCs w:val="32"/>
          <w:bdr w:val="nil"/>
          <w:lang w:val="mk-MK" w:bidi="mk-MK"/>
        </w:rPr>
        <w:t>Почва и подземни води</w:t>
      </w:r>
      <w:bookmarkEnd w:id="88"/>
      <w:r>
        <w:rPr>
          <w:rFonts w:eastAsia="Calibri" w:cs="Calibri"/>
          <w:szCs w:val="32"/>
          <w:bdr w:val="nil"/>
          <w:lang w:val="mk-MK" w:bidi="mk-MK"/>
        </w:rPr>
        <w:t xml:space="preserve"> </w:t>
      </w:r>
    </w:p>
    <w:p w14:paraId="7ADEA918" w14:textId="6662D0E8" w:rsidR="00B16C23" w:rsidRPr="008B6A8C" w:rsidRDefault="00B16C04" w:rsidP="00B16C23">
      <w:pPr>
        <w:rPr>
          <w:lang w:val="ro-RO"/>
        </w:rPr>
      </w:pPr>
      <w:r>
        <w:rPr>
          <w:rFonts w:cs="Calibri"/>
          <w:bdr w:val="nil"/>
          <w:lang w:val="mk-MK" w:bidi="mk-MK"/>
        </w:rPr>
        <w:t>Техниките за спречување на емисиите во почвата и во подземни</w:t>
      </w:r>
      <w:r w:rsidR="00E26AEC">
        <w:rPr>
          <w:rFonts w:cs="Calibri"/>
          <w:bdr w:val="nil"/>
          <w:lang w:val="mk-MK" w:bidi="mk-MK"/>
        </w:rPr>
        <w:t xml:space="preserve">те води се дадени во дел 3.3.7 </w:t>
      </w:r>
      <w:r>
        <w:rPr>
          <w:rFonts w:cs="Calibri"/>
          <w:bdr w:val="nil"/>
          <w:lang w:val="mk-MK" w:bidi="mk-MK"/>
        </w:rPr>
        <w:t xml:space="preserve">во Референтниот документ за најдобрите достапни техники.   Поконкретно дадени се мерки за спречување на истекувањето на металите и хемикалиите од отворени подрачја за чување и од опремата за транспорт преку користење на затворени површини со системи за одвод и евентуално </w:t>
      </w:r>
      <w:r w:rsidR="00E26AEC">
        <w:rPr>
          <w:rFonts w:cs="Calibri"/>
          <w:bdr w:val="nil"/>
          <w:lang w:val="mk-MK" w:bidi="mk-MK"/>
        </w:rPr>
        <w:t>третирање во базени за таложење.</w:t>
      </w:r>
      <w:r>
        <w:rPr>
          <w:rFonts w:cs="Calibri"/>
          <w:bdr w:val="nil"/>
          <w:lang w:val="mk-MK" w:bidi="mk-MK"/>
        </w:rPr>
        <w:t xml:space="preserve">    </w:t>
      </w:r>
    </w:p>
    <w:p w14:paraId="4B09F108" w14:textId="4CD8DA51" w:rsidR="00B16C23" w:rsidRDefault="00B16C04" w:rsidP="00B16C23">
      <w:pPr>
        <w:rPr>
          <w:lang w:val="ro-RO"/>
        </w:rPr>
      </w:pPr>
      <w:r>
        <w:rPr>
          <w:rFonts w:cs="Calibri"/>
          <w:bdr w:val="nil"/>
          <w:lang w:val="mk-MK" w:bidi="mk-MK"/>
        </w:rPr>
        <w:t xml:space="preserve">НДТ за спречување на загадувањето на почвата и подземните води се дадени во Поглавје 10.1.9. Во НДТ 15 опишани се мерките за спречување </w:t>
      </w:r>
      <w:r w:rsidR="00E26AEC">
        <w:rPr>
          <w:rFonts w:cs="Calibri"/>
          <w:bdr w:val="nil"/>
          <w:lang w:val="mk-MK" w:bidi="mk-MK"/>
        </w:rPr>
        <w:t xml:space="preserve">на </w:t>
      </w:r>
      <w:r>
        <w:rPr>
          <w:rFonts w:cs="Calibri"/>
          <w:bdr w:val="nil"/>
          <w:lang w:val="mk-MK" w:bidi="mk-MK"/>
        </w:rPr>
        <w:t xml:space="preserve">контаминација на почвата и на подземните води </w:t>
      </w:r>
      <w:r w:rsidR="00E26AEC">
        <w:rPr>
          <w:rFonts w:cs="Calibri"/>
          <w:bdr w:val="nil"/>
          <w:lang w:val="mk-MK" w:bidi="mk-MK"/>
        </w:rPr>
        <w:t xml:space="preserve">при </w:t>
      </w:r>
      <w:r>
        <w:rPr>
          <w:rFonts w:cs="Calibri"/>
          <w:bdr w:val="nil"/>
          <w:lang w:val="mk-MK" w:bidi="mk-MK"/>
        </w:rPr>
        <w:t>истоварање, чување и постапува</w:t>
      </w:r>
      <w:r w:rsidR="00E26AEC">
        <w:rPr>
          <w:rFonts w:cs="Calibri"/>
          <w:bdr w:val="nil"/>
          <w:lang w:val="mk-MK" w:bidi="mk-MK"/>
        </w:rPr>
        <w:t>њ</w:t>
      </w:r>
      <w:r>
        <w:rPr>
          <w:rFonts w:cs="Calibri"/>
          <w:bdr w:val="nil"/>
          <w:lang w:val="mk-MK" w:bidi="mk-MK"/>
        </w:rPr>
        <w:t xml:space="preserve">е со цврсти горива и адитиви (чување горива на затворени површини со одвод, собирање и третман пред испуштање на течностите од истекувањата и дождовницата од местата за чување на горивата). </w:t>
      </w:r>
    </w:p>
    <w:p w14:paraId="5770AEB9" w14:textId="77777777" w:rsidR="00B16C23" w:rsidRDefault="00B16C04" w:rsidP="005748BE">
      <w:pPr>
        <w:pStyle w:val="Heading2"/>
        <w:numPr>
          <w:ilvl w:val="1"/>
          <w:numId w:val="5"/>
        </w:numPr>
        <w:rPr>
          <w:lang w:val="ro-RO"/>
        </w:rPr>
      </w:pPr>
      <w:r>
        <w:rPr>
          <w:rFonts w:eastAsia="Calibri" w:cs="Calibri"/>
          <w:szCs w:val="32"/>
          <w:bdr w:val="nil"/>
          <w:lang w:val="mk-MK" w:bidi="mk-MK"/>
        </w:rPr>
        <w:t xml:space="preserve"> </w:t>
      </w:r>
      <w:bookmarkStart w:id="89" w:name="_Toc444009843"/>
      <w:r>
        <w:rPr>
          <w:rFonts w:eastAsia="Calibri" w:cs="Calibri"/>
          <w:szCs w:val="32"/>
          <w:bdr w:val="nil"/>
          <w:lang w:val="mk-MK" w:bidi="mk-MK"/>
        </w:rPr>
        <w:t>Отпад</w:t>
      </w:r>
      <w:bookmarkEnd w:id="89"/>
    </w:p>
    <w:p w14:paraId="18EBE1DA" w14:textId="26C4827D" w:rsidR="00B16C23" w:rsidRPr="00A867E8" w:rsidRDefault="00B16C04" w:rsidP="00B16C23">
      <w:pPr>
        <w:rPr>
          <w:lang w:val="ro-RO"/>
        </w:rPr>
      </w:pPr>
      <w:r>
        <w:rPr>
          <w:rFonts w:cs="Calibri"/>
          <w:bdr w:val="nil"/>
          <w:lang w:val="mk-MK" w:bidi="mk-MK"/>
        </w:rPr>
        <w:t>Согорувањето на фосилните горива (цврсти и течни) создава различни нусп</w:t>
      </w:r>
      <w:r w:rsidR="00E26AEC">
        <w:rPr>
          <w:rFonts w:cs="Calibri"/>
          <w:bdr w:val="nil"/>
          <w:lang w:val="mk-MK" w:bidi="mk-MK"/>
        </w:rPr>
        <w:t>роизводи и остатоци.  Најважни</w:t>
      </w:r>
      <w:r>
        <w:rPr>
          <w:rFonts w:cs="Calibri"/>
          <w:bdr w:val="nil"/>
          <w:lang w:val="mk-MK" w:bidi="mk-MK"/>
        </w:rPr>
        <w:t xml:space="preserve"> се згурата, пепелот во оџаците и на дното на печката и гипс</w:t>
      </w:r>
      <w:r w:rsidR="00E26AEC">
        <w:rPr>
          <w:rFonts w:cs="Calibri"/>
          <w:bdr w:val="nil"/>
          <w:lang w:val="mk-MK" w:bidi="mk-MK"/>
        </w:rPr>
        <w:t>от</w:t>
      </w:r>
      <w:r>
        <w:rPr>
          <w:rFonts w:cs="Calibri"/>
          <w:bdr w:val="nil"/>
          <w:lang w:val="mk-MK" w:bidi="mk-MK"/>
        </w:rPr>
        <w:t xml:space="preserve"> од постројките за десулфуризација.  Најголем дел од овие остатоци и нуспроизводи можат повторно да се искористат како суровини за градежни активности.  </w:t>
      </w:r>
    </w:p>
    <w:p w14:paraId="2C44183A" w14:textId="22E1B9D6" w:rsidR="00B16C23" w:rsidRDefault="00B16C04" w:rsidP="00B16C23">
      <w:pPr>
        <w:rPr>
          <w:lang w:val="ro-RO"/>
        </w:rPr>
      </w:pPr>
      <w:r>
        <w:rPr>
          <w:rFonts w:cs="Calibri"/>
          <w:bdr w:val="nil"/>
          <w:lang w:val="mk-MK" w:bidi="mk-MK"/>
        </w:rPr>
        <w:t xml:space="preserve">Во Поглавје 10.1.7 се зборува за управувањето со отпадот, нуспроизводите и остатоците.  Во НДТ 12 пропишан е План за управување со отпад кој </w:t>
      </w:r>
      <w:r w:rsidR="00E26AEC">
        <w:rPr>
          <w:rFonts w:cs="Calibri"/>
          <w:bdr w:val="nil"/>
          <w:lang w:val="mk-MK" w:bidi="mk-MK"/>
        </w:rPr>
        <w:t>предвидува активности</w:t>
      </w:r>
      <w:r>
        <w:rPr>
          <w:rFonts w:cs="Calibri"/>
          <w:bdr w:val="nil"/>
          <w:lang w:val="mk-MK" w:bidi="mk-MK"/>
        </w:rPr>
        <w:t xml:space="preserve"> за избегнување на создава</w:t>
      </w:r>
      <w:r w:rsidR="002F3836">
        <w:rPr>
          <w:rFonts w:cs="Calibri"/>
          <w:bdr w:val="nil"/>
          <w:lang w:val="mk-MK" w:bidi="mk-MK"/>
        </w:rPr>
        <w:t>њ</w:t>
      </w:r>
      <w:r>
        <w:rPr>
          <w:rFonts w:cs="Calibri"/>
          <w:bdr w:val="nil"/>
          <w:lang w:val="mk-MK" w:bidi="mk-MK"/>
        </w:rPr>
        <w:t>ето на отпад, негово рециклирање, обновување или безбедно отстранување.   НДТ 13 г</w:t>
      </w:r>
      <w:r w:rsidR="002F3836">
        <w:rPr>
          <w:rFonts w:cs="Calibri"/>
          <w:bdr w:val="nil"/>
          <w:lang w:val="mk-MK" w:bidi="mk-MK"/>
        </w:rPr>
        <w:t>и</w:t>
      </w:r>
      <w:r>
        <w:rPr>
          <w:rFonts w:cs="Calibri"/>
          <w:bdr w:val="nil"/>
          <w:lang w:val="mk-MK" w:bidi="mk-MK"/>
        </w:rPr>
        <w:t xml:space="preserve"> содрж</w:t>
      </w:r>
      <w:r w:rsidR="002F3836">
        <w:rPr>
          <w:rFonts w:cs="Calibri"/>
          <w:bdr w:val="nil"/>
          <w:lang w:val="mk-MK" w:bidi="mk-MK"/>
        </w:rPr>
        <w:t>ат</w:t>
      </w:r>
      <w:r>
        <w:rPr>
          <w:rFonts w:cs="Calibri"/>
          <w:bdr w:val="nil"/>
          <w:lang w:val="mk-MK" w:bidi="mk-MK"/>
        </w:rPr>
        <w:t xml:space="preserve"> </w:t>
      </w:r>
      <w:r w:rsidR="002F3836">
        <w:rPr>
          <w:rFonts w:cs="Calibri"/>
          <w:bdr w:val="nil"/>
          <w:lang w:val="mk-MK" w:bidi="mk-MK"/>
        </w:rPr>
        <w:t>н</w:t>
      </w:r>
      <w:r>
        <w:rPr>
          <w:rFonts w:cs="Calibri"/>
          <w:bdr w:val="nil"/>
          <w:lang w:val="mk-MK" w:bidi="mk-MK"/>
        </w:rPr>
        <w:t xml:space="preserve">ајдобрите достапни техники за намалување на количествата отпад од процесот на согорување и техники за намалување на влијанието при отстранување, како и како да се организираат операциите на локацијата за да се </w:t>
      </w:r>
      <w:r w:rsidR="002F3836">
        <w:rPr>
          <w:rFonts w:cs="Calibri"/>
          <w:bdr w:val="nil"/>
          <w:lang w:val="mk-MK" w:bidi="mk-MK"/>
        </w:rPr>
        <w:t xml:space="preserve">зголеми </w:t>
      </w:r>
      <w:r>
        <w:rPr>
          <w:rFonts w:cs="Calibri"/>
          <w:bdr w:val="nil"/>
          <w:lang w:val="mk-MK" w:bidi="mk-MK"/>
        </w:rPr>
        <w:t xml:space="preserve">делот од остатоците кои се јавуваат како нуспроизводи, повторно користење на отпадот согласно специфичните потребни критериуми за квалитетот, рециклирањето на отпадот и други можности за обновување преку спроведување на техничките мерки (опишани во НДТ 13).  </w:t>
      </w:r>
    </w:p>
    <w:p w14:paraId="4B622D1B" w14:textId="77777777" w:rsidR="00B16C23" w:rsidRDefault="00B16C04" w:rsidP="005748BE">
      <w:pPr>
        <w:pStyle w:val="Heading2"/>
        <w:numPr>
          <w:ilvl w:val="1"/>
          <w:numId w:val="5"/>
        </w:numPr>
        <w:rPr>
          <w:lang w:val="ro-RO"/>
        </w:rPr>
      </w:pPr>
      <w:bookmarkStart w:id="90" w:name="_Toc444009844"/>
      <w:r>
        <w:rPr>
          <w:rFonts w:eastAsia="Calibri" w:cs="Calibri"/>
          <w:szCs w:val="32"/>
          <w:bdr w:val="nil"/>
          <w:lang w:val="mk-MK" w:bidi="mk-MK"/>
        </w:rPr>
        <w:t>Безбедност</w:t>
      </w:r>
      <w:bookmarkEnd w:id="90"/>
      <w:r>
        <w:rPr>
          <w:rFonts w:eastAsia="Calibri" w:cs="Calibri"/>
          <w:szCs w:val="32"/>
          <w:bdr w:val="nil"/>
          <w:lang w:val="mk-MK" w:bidi="mk-MK"/>
        </w:rPr>
        <w:t xml:space="preserve"> </w:t>
      </w:r>
    </w:p>
    <w:p w14:paraId="10693BF4" w14:textId="4E84554E" w:rsidR="00B16C23" w:rsidRDefault="00B16C04" w:rsidP="00B16C23">
      <w:pPr>
        <w:rPr>
          <w:lang w:val="ro-RO"/>
        </w:rPr>
      </w:pPr>
      <w:r>
        <w:rPr>
          <w:rFonts w:cs="Calibri"/>
          <w:bdr w:val="nil"/>
          <w:lang w:val="mk-MK" w:bidi="mk-MK"/>
        </w:rPr>
        <w:t xml:space="preserve">Во Директивата за индустриски емисии не се дадени </w:t>
      </w:r>
      <w:r w:rsidR="000D4404">
        <w:rPr>
          <w:rFonts w:cs="Calibri"/>
          <w:bdr w:val="nil"/>
          <w:lang w:val="mk-MK" w:bidi="mk-MK"/>
        </w:rPr>
        <w:t>барања</w:t>
      </w:r>
      <w:r>
        <w:rPr>
          <w:rFonts w:cs="Calibri"/>
          <w:bdr w:val="nil"/>
          <w:lang w:val="mk-MK" w:bidi="mk-MK"/>
        </w:rPr>
        <w:t xml:space="preserve"> или препораки за безбед</w:t>
      </w:r>
      <w:r w:rsidR="000D4404">
        <w:rPr>
          <w:rFonts w:cs="Calibri"/>
          <w:bdr w:val="nil"/>
          <w:lang w:val="mk-MK" w:bidi="mk-MK"/>
        </w:rPr>
        <w:t>н</w:t>
      </w:r>
      <w:r>
        <w:rPr>
          <w:rFonts w:cs="Calibri"/>
          <w:bdr w:val="nil"/>
          <w:lang w:val="mk-MK" w:bidi="mk-MK"/>
        </w:rPr>
        <w:t>осните аспекти, како на пример за чување</w:t>
      </w:r>
      <w:r w:rsidR="000D4404">
        <w:rPr>
          <w:rFonts w:cs="Calibri"/>
          <w:bdr w:val="nil"/>
          <w:lang w:val="mk-MK" w:bidi="mk-MK"/>
        </w:rPr>
        <w:t>то</w:t>
      </w:r>
      <w:r>
        <w:rPr>
          <w:rFonts w:cs="Calibri"/>
          <w:bdr w:val="nil"/>
          <w:lang w:val="mk-MK" w:bidi="mk-MK"/>
        </w:rPr>
        <w:t xml:space="preserve"> на опасни супстанции, така што за овие и за други безбеднос</w:t>
      </w:r>
      <w:r w:rsidR="000D4404">
        <w:rPr>
          <w:rFonts w:cs="Calibri"/>
          <w:bdr w:val="nil"/>
          <w:lang w:val="mk-MK" w:bidi="mk-MK"/>
        </w:rPr>
        <w:t>н</w:t>
      </w:r>
      <w:r>
        <w:rPr>
          <w:rFonts w:cs="Calibri"/>
          <w:bdr w:val="nil"/>
          <w:lang w:val="mk-MK" w:bidi="mk-MK"/>
        </w:rPr>
        <w:t xml:space="preserve">и аспекти не може да се најде </w:t>
      </w:r>
      <w:r w:rsidR="003528C6">
        <w:rPr>
          <w:rFonts w:cs="Calibri"/>
          <w:bdr w:val="nil"/>
          <w:lang w:val="mk-MK" w:bidi="mk-MK"/>
        </w:rPr>
        <w:t>БРЕФ</w:t>
      </w:r>
      <w:r>
        <w:rPr>
          <w:rFonts w:cs="Calibri"/>
          <w:bdr w:val="nil"/>
          <w:lang w:val="mk-MK" w:bidi="mk-MK"/>
        </w:rPr>
        <w:t xml:space="preserve">.  Во овој случај применлива е Директивата </w:t>
      </w:r>
      <w:r>
        <w:rPr>
          <w:rFonts w:cs="Calibri"/>
          <w:bdr w:val="nil"/>
          <w:lang w:val="mk-MK" w:bidi="mk-MK"/>
        </w:rPr>
        <w:lastRenderedPageBreak/>
        <w:t xml:space="preserve">Севесо -III (2012/18/EU) за спречување на хаварии </w:t>
      </w:r>
      <w:r w:rsidR="00BF7FC7">
        <w:rPr>
          <w:rFonts w:cs="Calibri"/>
          <w:bdr w:val="nil"/>
          <w:lang w:val="mk-MK" w:bidi="mk-MK"/>
        </w:rPr>
        <w:t xml:space="preserve">во кои се вклучени </w:t>
      </w:r>
      <w:r>
        <w:rPr>
          <w:rFonts w:cs="Calibri"/>
          <w:bdr w:val="nil"/>
          <w:lang w:val="mk-MK" w:bidi="mk-MK"/>
        </w:rPr>
        <w:t>опасни супстанции. Директивата ги опфаќа и</w:t>
      </w:r>
      <w:r w:rsidR="001207F4">
        <w:rPr>
          <w:rFonts w:cs="Calibri"/>
          <w:bdr w:val="nil"/>
          <w:lang w:val="mk-MK" w:bidi="mk-MK"/>
        </w:rPr>
        <w:t>нсталациите каде може да се при</w:t>
      </w:r>
      <w:r>
        <w:rPr>
          <w:rFonts w:cs="Calibri"/>
          <w:bdr w:val="nil"/>
          <w:lang w:val="mk-MK" w:bidi="mk-MK"/>
        </w:rPr>
        <w:t>с</w:t>
      </w:r>
      <w:r w:rsidR="001207F4">
        <w:rPr>
          <w:rFonts w:cs="Calibri"/>
          <w:bdr w:val="nil"/>
          <w:lang w:val="mk-MK" w:bidi="mk-MK"/>
        </w:rPr>
        <w:t>у</w:t>
      </w:r>
      <w:r>
        <w:rPr>
          <w:rFonts w:cs="Calibri"/>
          <w:bdr w:val="nil"/>
          <w:lang w:val="mk-MK" w:bidi="mk-MK"/>
        </w:rPr>
        <w:t>тни опасни супстанции (за време на процеси или при чување) во количества над определен</w:t>
      </w:r>
      <w:r w:rsidR="001207F4">
        <w:rPr>
          <w:rFonts w:cs="Calibri"/>
          <w:bdr w:val="nil"/>
          <w:lang w:val="mk-MK" w:bidi="mk-MK"/>
        </w:rPr>
        <w:t>а</w:t>
      </w:r>
      <w:r>
        <w:rPr>
          <w:rFonts w:cs="Calibri"/>
          <w:bdr w:val="nil"/>
          <w:lang w:val="mk-MK" w:bidi="mk-MK"/>
        </w:rPr>
        <w:t xml:space="preserve"> </w:t>
      </w:r>
      <w:r w:rsidR="001207F4">
        <w:rPr>
          <w:rFonts w:cs="Calibri"/>
          <w:bdr w:val="nil"/>
          <w:lang w:val="mk-MK" w:bidi="mk-MK"/>
        </w:rPr>
        <w:t>граница</w:t>
      </w:r>
      <w:r>
        <w:rPr>
          <w:rFonts w:cs="Calibri"/>
          <w:bdr w:val="nil"/>
          <w:lang w:val="mk-MK" w:bidi="mk-MK"/>
        </w:rPr>
        <w:t xml:space="preserve">.  Директивата ги опишува главните обврски за органите и операторите во државите-членки.  </w:t>
      </w:r>
      <w:r w:rsidR="0067462F" w:rsidRPr="00EA31FA">
        <w:rPr>
          <w:rFonts w:cs="Calibri"/>
          <w:lang w:val="mk-MK" w:bidi="mk-MK"/>
        </w:rPr>
        <w:t>До сега во Република Македонија е транспонирана само Директивата Севесо II</w:t>
      </w:r>
      <w:r w:rsidR="0067462F" w:rsidRPr="007B4CCB">
        <w:rPr>
          <w:rFonts w:cs="Calibri"/>
          <w:lang w:val="mk-MK" w:bidi="mk-MK"/>
        </w:rPr>
        <w:t xml:space="preserve"> </w:t>
      </w:r>
      <w:r w:rsidR="0067462F">
        <w:rPr>
          <w:rFonts w:cs="Calibri"/>
          <w:lang w:val="mk-MK" w:bidi="mk-MK"/>
        </w:rPr>
        <w:t>како поглавје во рамките на Законот за животна средина</w:t>
      </w:r>
      <w:r w:rsidR="0067462F" w:rsidRPr="00EA31FA">
        <w:rPr>
          <w:rFonts w:cs="Calibri"/>
          <w:lang w:val="mk-MK" w:bidi="mk-MK"/>
        </w:rPr>
        <w:t>.</w:t>
      </w:r>
      <w:bookmarkStart w:id="91" w:name="_GoBack"/>
      <w:bookmarkEnd w:id="91"/>
      <w:r>
        <w:rPr>
          <w:rFonts w:cs="Calibri"/>
          <w:bdr w:val="nil"/>
          <w:lang w:val="mk-MK" w:bidi="mk-MK"/>
        </w:rPr>
        <w:t xml:space="preserve"> </w:t>
      </w:r>
    </w:p>
    <w:p w14:paraId="302DBCA2" w14:textId="77777777" w:rsidR="00B16C23" w:rsidRDefault="00B16C04" w:rsidP="005748BE">
      <w:pPr>
        <w:pStyle w:val="Heading2"/>
        <w:numPr>
          <w:ilvl w:val="1"/>
          <w:numId w:val="5"/>
        </w:numPr>
        <w:rPr>
          <w:lang w:val="ro-RO"/>
        </w:rPr>
      </w:pPr>
      <w:bookmarkStart w:id="92" w:name="_Toc444009845"/>
      <w:r>
        <w:rPr>
          <w:rFonts w:eastAsia="Calibri" w:cs="Calibri"/>
          <w:szCs w:val="32"/>
          <w:bdr w:val="nil"/>
          <w:lang w:val="mk-MK" w:bidi="mk-MK"/>
        </w:rPr>
        <w:t>Административна организација / внатрешна контрола</w:t>
      </w:r>
      <w:bookmarkEnd w:id="92"/>
      <w:r>
        <w:rPr>
          <w:rFonts w:eastAsia="Calibri" w:cs="Calibri"/>
          <w:szCs w:val="32"/>
          <w:bdr w:val="nil"/>
          <w:lang w:val="mk-MK" w:bidi="mk-MK"/>
        </w:rPr>
        <w:t xml:space="preserve"> </w:t>
      </w:r>
    </w:p>
    <w:p w14:paraId="65AA6725" w14:textId="77777777" w:rsidR="00B16C23" w:rsidRDefault="00B16C04" w:rsidP="005748BE">
      <w:pPr>
        <w:pStyle w:val="Heading3"/>
        <w:numPr>
          <w:ilvl w:val="2"/>
          <w:numId w:val="5"/>
        </w:numPr>
        <w:rPr>
          <w:lang w:val="ro-RO"/>
        </w:rPr>
      </w:pPr>
      <w:bookmarkStart w:id="93" w:name="_Toc444009846"/>
      <w:r>
        <w:rPr>
          <w:rFonts w:eastAsia="Calibri" w:cs="Calibri"/>
          <w:szCs w:val="28"/>
          <w:bdr w:val="nil"/>
          <w:lang w:val="mk-MK" w:bidi="mk-MK"/>
        </w:rPr>
        <w:t>Систем за управување со животната средина</w:t>
      </w:r>
      <w:bookmarkEnd w:id="93"/>
      <w:r>
        <w:rPr>
          <w:rFonts w:eastAsia="Calibri" w:cs="Calibri"/>
          <w:szCs w:val="28"/>
          <w:bdr w:val="nil"/>
          <w:lang w:val="mk-MK" w:bidi="mk-MK"/>
        </w:rPr>
        <w:t xml:space="preserve"> </w:t>
      </w:r>
    </w:p>
    <w:p w14:paraId="5543DD8B" w14:textId="73BBEE45" w:rsidR="00B16C23" w:rsidRDefault="001207F4" w:rsidP="00B16C23">
      <w:pPr>
        <w:rPr>
          <w:lang w:val="ro-RO"/>
        </w:rPr>
      </w:pPr>
      <w:r>
        <w:rPr>
          <w:rFonts w:cs="Calibri"/>
          <w:bdr w:val="nil"/>
          <w:lang w:val="mk-MK" w:bidi="mk-MK"/>
        </w:rPr>
        <w:t>Во НДТ 1 (во делот „Оп</w:t>
      </w:r>
      <w:r w:rsidR="00B16C04">
        <w:rPr>
          <w:rFonts w:cs="Calibri"/>
          <w:bdr w:val="nil"/>
          <w:lang w:val="mk-MK" w:bidi="mk-MK"/>
        </w:rPr>
        <w:t xml:space="preserve">шти заклучоци за НДТ“) опишани се елементите на Системот за управување со животната средина за овој сектор.  </w:t>
      </w:r>
      <w:r>
        <w:rPr>
          <w:rFonts w:cs="Calibri"/>
          <w:bdr w:val="nil"/>
          <w:lang w:val="mk-MK" w:bidi="mk-MK"/>
        </w:rPr>
        <w:t xml:space="preserve">Мора да се земе предвид и </w:t>
      </w:r>
      <w:r w:rsidR="00B16C04">
        <w:rPr>
          <w:rFonts w:cs="Calibri"/>
          <w:bdr w:val="nil"/>
          <w:lang w:val="mk-MK" w:bidi="mk-MK"/>
        </w:rPr>
        <w:t>Референтниот документ за нај</w:t>
      </w:r>
      <w:r>
        <w:rPr>
          <w:rFonts w:cs="Calibri"/>
          <w:bdr w:val="nil"/>
          <w:lang w:val="mk-MK" w:bidi="mk-MK"/>
        </w:rPr>
        <w:t>добрите достапни техники за опш</w:t>
      </w:r>
      <w:r w:rsidR="00B16C04">
        <w:rPr>
          <w:rFonts w:cs="Calibri"/>
          <w:bdr w:val="nil"/>
          <w:lang w:val="mk-MK" w:bidi="mk-MK"/>
        </w:rPr>
        <w:t xml:space="preserve">тите начела на мониторингот (види Анекс 1).  Опсегот (односно нивото на детали) и природата на Системот за управување со животната средина (СУЖС) (стандардизиран или нестандардизиран) генерално ќе зависи од природата, обемот и сложеноста на инсталацијата, како и </w:t>
      </w:r>
      <w:r w:rsidR="00CB5CE5">
        <w:rPr>
          <w:rFonts w:cs="Calibri"/>
          <w:bdr w:val="nil"/>
          <w:lang w:val="mk-MK" w:bidi="mk-MK"/>
        </w:rPr>
        <w:t>од</w:t>
      </w:r>
      <w:r w:rsidR="00B16C04">
        <w:rPr>
          <w:rFonts w:cs="Calibri"/>
          <w:bdr w:val="nil"/>
          <w:lang w:val="mk-MK" w:bidi="mk-MK"/>
        </w:rPr>
        <w:t xml:space="preserve"> различните влијанија врз животната средина кои таа може да ги предизвика. </w:t>
      </w:r>
    </w:p>
    <w:p w14:paraId="2796F4F0" w14:textId="4145E281" w:rsidR="00B16C23" w:rsidRDefault="00CB5CE5" w:rsidP="00B16C23">
      <w:pPr>
        <w:rPr>
          <w:lang w:val="ro-RO"/>
        </w:rPr>
      </w:pPr>
      <w:r>
        <w:rPr>
          <w:rFonts w:cs="Calibri"/>
          <w:bdr w:val="nil"/>
          <w:lang w:val="mk-MK" w:bidi="mk-MK"/>
        </w:rPr>
        <w:t>За големите пост</w:t>
      </w:r>
      <w:r w:rsidR="00B16C04">
        <w:rPr>
          <w:rFonts w:cs="Calibri"/>
          <w:bdr w:val="nil"/>
          <w:lang w:val="mk-MK" w:bidi="mk-MK"/>
        </w:rPr>
        <w:t>р</w:t>
      </w:r>
      <w:r>
        <w:rPr>
          <w:rFonts w:cs="Calibri"/>
          <w:bdr w:val="nil"/>
          <w:lang w:val="mk-MK" w:bidi="mk-MK"/>
        </w:rPr>
        <w:t>о</w:t>
      </w:r>
      <w:r w:rsidR="00B16C04">
        <w:rPr>
          <w:rFonts w:cs="Calibri"/>
          <w:bdr w:val="nil"/>
          <w:lang w:val="mk-MK" w:bidi="mk-MK"/>
        </w:rPr>
        <w:t xml:space="preserve">јки за согорување важно е да се земат предвид и идентификуваат точките на ризик за горивата кои можат да се самозапалат и соодветно да се прегледаат подрачјата каде се чуваат горивата. </w:t>
      </w:r>
    </w:p>
    <w:p w14:paraId="653F740D" w14:textId="77777777" w:rsidR="00B16C23" w:rsidRDefault="00B16C04" w:rsidP="005748BE">
      <w:pPr>
        <w:pStyle w:val="Heading3"/>
        <w:numPr>
          <w:ilvl w:val="2"/>
          <w:numId w:val="5"/>
        </w:numPr>
        <w:rPr>
          <w:lang w:val="ro-RO"/>
        </w:rPr>
      </w:pPr>
      <w:bookmarkStart w:id="94" w:name="_Toc444009847"/>
      <w:r>
        <w:rPr>
          <w:rFonts w:eastAsia="Calibri" w:cs="Calibri"/>
          <w:szCs w:val="28"/>
          <w:bdr w:val="nil"/>
          <w:lang w:val="mk-MK" w:bidi="mk-MK"/>
        </w:rPr>
        <w:t>Самомониторинг и известување</w:t>
      </w:r>
      <w:bookmarkEnd w:id="94"/>
      <w:r>
        <w:rPr>
          <w:rFonts w:eastAsia="Calibri" w:cs="Calibri"/>
          <w:szCs w:val="28"/>
          <w:bdr w:val="nil"/>
          <w:lang w:val="mk-MK" w:bidi="mk-MK"/>
        </w:rPr>
        <w:t xml:space="preserve"> </w:t>
      </w:r>
    </w:p>
    <w:p w14:paraId="4E5400E5" w14:textId="323CB4E0" w:rsidR="00B16C23" w:rsidRDefault="00B16C04" w:rsidP="00B16C23">
      <w:pPr>
        <w:rPr>
          <w:lang w:val="ro-RO"/>
        </w:rPr>
      </w:pPr>
      <w:r>
        <w:rPr>
          <w:rFonts w:cs="Calibri"/>
          <w:bdr w:val="nil"/>
          <w:lang w:val="mk-MK" w:bidi="mk-MK"/>
        </w:rPr>
        <w:t>Во Поглавје 10.1.2 опишани се генералн</w:t>
      </w:r>
      <w:r w:rsidR="00CB5CE5">
        <w:rPr>
          <w:rFonts w:cs="Calibri"/>
          <w:bdr w:val="nil"/>
          <w:lang w:val="mk-MK" w:bidi="mk-MK"/>
        </w:rPr>
        <w:t xml:space="preserve">ите </w:t>
      </w:r>
      <w:r>
        <w:rPr>
          <w:rFonts w:cs="Calibri"/>
          <w:bdr w:val="nil"/>
          <w:lang w:val="mk-MK" w:bidi="mk-MK"/>
        </w:rPr>
        <w:t xml:space="preserve">обврските за мониторинг (НДТ 2 и НДТ 3). </w:t>
      </w:r>
    </w:p>
    <w:p w14:paraId="07B339CC" w14:textId="14DB34CB" w:rsidR="00B16C23" w:rsidRDefault="00B16C04" w:rsidP="00B16C23">
      <w:pPr>
        <w:rPr>
          <w:lang w:val="ro-RO"/>
        </w:rPr>
      </w:pPr>
      <w:r>
        <w:rPr>
          <w:rFonts w:cs="Calibri"/>
          <w:bdr w:val="nil"/>
          <w:lang w:val="mk-MK" w:bidi="mk-MK"/>
        </w:rPr>
        <w:t xml:space="preserve">Во НДТ </w:t>
      </w:r>
      <w:r w:rsidR="00CB5CE5">
        <w:rPr>
          <w:rFonts w:cs="Calibri"/>
          <w:bdr w:val="nil"/>
          <w:lang w:val="mk-MK" w:bidi="mk-MK"/>
        </w:rPr>
        <w:t>2 наведено е дека согласно н</w:t>
      </w:r>
      <w:r>
        <w:rPr>
          <w:rFonts w:cs="Calibri"/>
          <w:bdr w:val="nil"/>
          <w:lang w:val="mk-MK" w:bidi="mk-MK"/>
        </w:rPr>
        <w:t xml:space="preserve">ајдобрите достапни техники </w:t>
      </w:r>
      <w:r w:rsidR="00CB5CE5">
        <w:rPr>
          <w:rFonts w:cs="Calibri"/>
          <w:bdr w:val="nil"/>
          <w:lang w:val="mk-MK" w:bidi="mk-MK"/>
        </w:rPr>
        <w:t xml:space="preserve">потребно е </w:t>
      </w:r>
      <w:r>
        <w:rPr>
          <w:rFonts w:cs="Calibri"/>
          <w:bdr w:val="nil"/>
          <w:lang w:val="mk-MK" w:bidi="mk-MK"/>
        </w:rPr>
        <w:t>да се врши мониторинг на емисиите во воздухот по примена на чекори</w:t>
      </w:r>
      <w:r w:rsidR="00CB5CE5">
        <w:rPr>
          <w:rFonts w:cs="Calibri"/>
          <w:bdr w:val="nil"/>
          <w:lang w:val="mk-MK" w:bidi="mk-MK"/>
        </w:rPr>
        <w:t xml:space="preserve">те за третирање на </w:t>
      </w:r>
      <w:r>
        <w:rPr>
          <w:rFonts w:cs="Calibri"/>
          <w:bdr w:val="nil"/>
          <w:lang w:val="mk-MK" w:bidi="mk-MK"/>
        </w:rPr>
        <w:t>и</w:t>
      </w:r>
      <w:r w:rsidR="00CB5CE5">
        <w:rPr>
          <w:rFonts w:cs="Calibri"/>
          <w:bdr w:val="nil"/>
          <w:lang w:val="mk-MK" w:bidi="mk-MK"/>
        </w:rPr>
        <w:t>з</w:t>
      </w:r>
      <w:r>
        <w:rPr>
          <w:rFonts w:cs="Calibri"/>
          <w:bdr w:val="nil"/>
          <w:lang w:val="mk-MK" w:bidi="mk-MK"/>
        </w:rPr>
        <w:t>дувните гасови и пред мешање со други и</w:t>
      </w:r>
      <w:r w:rsidR="00CB5CE5">
        <w:rPr>
          <w:rFonts w:cs="Calibri"/>
          <w:bdr w:val="nil"/>
          <w:lang w:val="mk-MK" w:bidi="mk-MK"/>
        </w:rPr>
        <w:t>здувни гасови и нивно испуштање</w:t>
      </w:r>
      <w:r>
        <w:rPr>
          <w:rFonts w:cs="Calibri"/>
          <w:bdr w:val="nil"/>
          <w:lang w:val="mk-MK" w:bidi="mk-MK"/>
        </w:rPr>
        <w:t xml:space="preserve"> (водата </w:t>
      </w:r>
      <w:r w:rsidR="00CB5CE5">
        <w:rPr>
          <w:rFonts w:cs="Calibri"/>
          <w:bdr w:val="nil"/>
          <w:lang w:val="mk-MK" w:bidi="mk-MK"/>
        </w:rPr>
        <w:t>на местото на испуштање)</w:t>
      </w:r>
      <w:r w:rsidR="00D4467B">
        <w:rPr>
          <w:rFonts w:cs="Calibri"/>
          <w:bdr w:val="nil"/>
          <w:lang w:val="mk-MK" w:bidi="mk-MK"/>
        </w:rPr>
        <w:t>. Треба да се врши</w:t>
      </w:r>
      <w:r w:rsidR="00CB5CE5">
        <w:rPr>
          <w:rFonts w:cs="Calibri"/>
          <w:bdr w:val="nil"/>
          <w:lang w:val="mk-MK" w:bidi="mk-MK"/>
        </w:rPr>
        <w:t xml:space="preserve"> </w:t>
      </w:r>
      <w:r w:rsidR="00D4467B">
        <w:rPr>
          <w:rFonts w:cs="Calibri"/>
          <w:bdr w:val="nil"/>
          <w:lang w:val="mk-MK" w:bidi="mk-MK"/>
        </w:rPr>
        <w:t xml:space="preserve">мониторинг </w:t>
      </w:r>
      <w:r w:rsidR="00CB5CE5">
        <w:rPr>
          <w:rFonts w:cs="Calibri"/>
          <w:bdr w:val="nil"/>
          <w:lang w:val="mk-MK" w:bidi="mk-MK"/>
        </w:rPr>
        <w:t>з</w:t>
      </w:r>
      <w:r>
        <w:rPr>
          <w:rFonts w:cs="Calibri"/>
          <w:bdr w:val="nil"/>
          <w:lang w:val="mk-MK" w:bidi="mk-MK"/>
        </w:rPr>
        <w:t>а загадувачки материи кои се дадени во секоја табела</w:t>
      </w:r>
      <w:r w:rsidR="00CB5CE5">
        <w:rPr>
          <w:rFonts w:cs="Calibri"/>
          <w:bdr w:val="nil"/>
          <w:lang w:val="mk-MK" w:bidi="mk-MK"/>
        </w:rPr>
        <w:t xml:space="preserve"> за нивоа на емисии при НДТ во З</w:t>
      </w:r>
      <w:r>
        <w:rPr>
          <w:rFonts w:cs="Calibri"/>
          <w:bdr w:val="nil"/>
          <w:lang w:val="mk-MK" w:bidi="mk-MK"/>
        </w:rPr>
        <w:t>аклучоците за НДТ</w:t>
      </w:r>
      <w:r w:rsidR="00CB5CE5">
        <w:rPr>
          <w:rFonts w:cs="Calibri"/>
          <w:bdr w:val="nil"/>
          <w:lang w:val="mk-MK" w:bidi="mk-MK"/>
        </w:rPr>
        <w:t>. Ди</w:t>
      </w:r>
      <w:r>
        <w:rPr>
          <w:rFonts w:cs="Calibri"/>
          <w:bdr w:val="nil"/>
          <w:lang w:val="mk-MK" w:bidi="mk-MK"/>
        </w:rPr>
        <w:t>н</w:t>
      </w:r>
      <w:r w:rsidR="00CB5CE5">
        <w:rPr>
          <w:rFonts w:cs="Calibri"/>
          <w:bdr w:val="nil"/>
          <w:lang w:val="mk-MK" w:bidi="mk-MK"/>
        </w:rPr>
        <w:t>ам</w:t>
      </w:r>
      <w:r>
        <w:rPr>
          <w:rFonts w:cs="Calibri"/>
          <w:bdr w:val="nil"/>
          <w:lang w:val="mk-MK" w:bidi="mk-MK"/>
        </w:rPr>
        <w:t>ика</w:t>
      </w:r>
      <w:r w:rsidR="00CB5CE5">
        <w:rPr>
          <w:rFonts w:cs="Calibri"/>
          <w:bdr w:val="nil"/>
          <w:lang w:val="mk-MK" w:bidi="mk-MK"/>
        </w:rPr>
        <w:t>та</w:t>
      </w:r>
      <w:r>
        <w:rPr>
          <w:rFonts w:cs="Calibri"/>
          <w:bdr w:val="nil"/>
          <w:lang w:val="mk-MK" w:bidi="mk-MK"/>
        </w:rPr>
        <w:t xml:space="preserve"> </w:t>
      </w:r>
      <w:r w:rsidR="00CB5CE5">
        <w:rPr>
          <w:rFonts w:cs="Calibri"/>
          <w:bdr w:val="nil"/>
          <w:lang w:val="mk-MK" w:bidi="mk-MK"/>
        </w:rPr>
        <w:t xml:space="preserve">на мониторингот </w:t>
      </w:r>
      <w:r>
        <w:rPr>
          <w:rFonts w:cs="Calibri"/>
          <w:bdr w:val="nil"/>
          <w:lang w:val="mk-MK" w:bidi="mk-MK"/>
        </w:rPr>
        <w:t xml:space="preserve">е наведена во истата табела и </w:t>
      </w:r>
      <w:r w:rsidR="00CB5CE5">
        <w:rPr>
          <w:rFonts w:cs="Calibri"/>
          <w:bdr w:val="nil"/>
          <w:lang w:val="mk-MK" w:bidi="mk-MK"/>
        </w:rPr>
        <w:t xml:space="preserve">тој треба да се направи </w:t>
      </w:r>
      <w:r>
        <w:rPr>
          <w:rFonts w:cs="Calibri"/>
          <w:bdr w:val="nil"/>
          <w:lang w:val="mk-MK" w:bidi="mk-MK"/>
        </w:rPr>
        <w:t xml:space="preserve">согласно стандардите ЕН.  Доколку не постојат ЕН стандарди, НДТ е да се користат ИСО, националните или други меѓународни стандарди кои ќе овозможат добивање податоци со еквивалентен научен квалитет. </w:t>
      </w:r>
    </w:p>
    <w:p w14:paraId="01BCEA1B" w14:textId="5BD67BFD" w:rsidR="00B16C23" w:rsidRDefault="00B16C04" w:rsidP="00B16C23">
      <w:pPr>
        <w:rPr>
          <w:lang w:val="ro-RO"/>
        </w:rPr>
      </w:pPr>
      <w:r>
        <w:rPr>
          <w:rFonts w:cs="Calibri"/>
          <w:bdr w:val="nil"/>
          <w:lang w:val="mk-MK" w:bidi="mk-MK"/>
        </w:rPr>
        <w:t xml:space="preserve">Со цел да </w:t>
      </w:r>
      <w:r w:rsidR="00D4467B">
        <w:rPr>
          <w:rFonts w:cs="Calibri"/>
          <w:bdr w:val="nil"/>
          <w:lang w:val="mk-MK" w:bidi="mk-MK"/>
        </w:rPr>
        <w:t>се обезбедат добри еколошки пер</w:t>
      </w:r>
      <w:r>
        <w:rPr>
          <w:rFonts w:cs="Calibri"/>
          <w:bdr w:val="nil"/>
          <w:lang w:val="mk-MK" w:bidi="mk-MK"/>
        </w:rPr>
        <w:t>ф</w:t>
      </w:r>
      <w:r w:rsidR="00D4467B">
        <w:rPr>
          <w:rFonts w:cs="Calibri"/>
          <w:bdr w:val="nil"/>
          <w:lang w:val="mk-MK" w:bidi="mk-MK"/>
        </w:rPr>
        <w:t>о</w:t>
      </w:r>
      <w:r>
        <w:rPr>
          <w:rFonts w:cs="Calibri"/>
          <w:bdr w:val="nil"/>
          <w:lang w:val="mk-MK" w:bidi="mk-MK"/>
        </w:rPr>
        <w:t xml:space="preserve">рманси и перформанси на согорување, </w:t>
      </w:r>
      <w:r w:rsidR="00D4467B">
        <w:rPr>
          <w:rFonts w:cs="Calibri"/>
          <w:bdr w:val="nil"/>
          <w:lang w:val="mk-MK" w:bidi="mk-MK"/>
        </w:rPr>
        <w:t>согласно</w:t>
      </w:r>
      <w:r>
        <w:rPr>
          <w:rFonts w:cs="Calibri"/>
          <w:bdr w:val="nil"/>
          <w:lang w:val="mk-MK" w:bidi="mk-MK"/>
        </w:rPr>
        <w:t xml:space="preserve"> НДТ 3 во конкретни случаи </w:t>
      </w:r>
      <w:r w:rsidR="00D4467B">
        <w:rPr>
          <w:rFonts w:cs="Calibri"/>
          <w:bdr w:val="nil"/>
          <w:lang w:val="mk-MK" w:bidi="mk-MK"/>
        </w:rPr>
        <w:t xml:space="preserve">потребен е </w:t>
      </w:r>
      <w:r>
        <w:rPr>
          <w:rFonts w:cs="Calibri"/>
          <w:bdr w:val="nil"/>
          <w:lang w:val="mk-MK" w:bidi="mk-MK"/>
        </w:rPr>
        <w:t xml:space="preserve">дополнителен мониторинг на процесите и на еколошките параметри, како на пример </w:t>
      </w:r>
      <w:r w:rsidR="00D4467B">
        <w:rPr>
          <w:rFonts w:cs="Calibri"/>
          <w:bdr w:val="nil"/>
          <w:lang w:val="mk-MK" w:bidi="mk-MK"/>
        </w:rPr>
        <w:t xml:space="preserve">на </w:t>
      </w:r>
      <w:r>
        <w:rPr>
          <w:rFonts w:cs="Calibri"/>
          <w:bdr w:val="nil"/>
          <w:lang w:val="mk-MK" w:bidi="mk-MK"/>
        </w:rPr>
        <w:t>излез</w:t>
      </w:r>
      <w:r w:rsidR="00D4467B">
        <w:rPr>
          <w:rFonts w:cs="Calibri"/>
          <w:bdr w:val="nil"/>
          <w:lang w:val="mk-MK" w:bidi="mk-MK"/>
        </w:rPr>
        <w:t xml:space="preserve">ната </w:t>
      </w:r>
      <w:r>
        <w:rPr>
          <w:rFonts w:cs="Calibri"/>
          <w:bdr w:val="nil"/>
          <w:lang w:val="mk-MK" w:bidi="mk-MK"/>
        </w:rPr>
        <w:t xml:space="preserve">енергија, </w:t>
      </w:r>
      <w:r w:rsidR="00D4467B">
        <w:rPr>
          <w:rFonts w:cs="Calibri"/>
          <w:bdr w:val="nil"/>
          <w:lang w:val="mk-MK" w:bidi="mk-MK"/>
        </w:rPr>
        <w:t xml:space="preserve">на </w:t>
      </w:r>
      <w:r>
        <w:rPr>
          <w:rFonts w:cs="Calibri"/>
          <w:bdr w:val="nil"/>
          <w:lang w:val="mk-MK" w:bidi="mk-MK"/>
        </w:rPr>
        <w:t xml:space="preserve">отпадот кој се создава, протокот на отпадните води, нивото на бучава, метали врзани </w:t>
      </w:r>
      <w:r w:rsidR="00823865">
        <w:rPr>
          <w:rFonts w:cs="Calibri"/>
          <w:bdr w:val="nil"/>
          <w:lang w:val="mk-MK" w:bidi="mk-MK"/>
        </w:rPr>
        <w:t xml:space="preserve">за </w:t>
      </w:r>
      <w:r>
        <w:rPr>
          <w:rFonts w:cs="Calibri"/>
          <w:bdr w:val="nil"/>
          <w:lang w:val="mk-MK" w:bidi="mk-MK"/>
        </w:rPr>
        <w:t>суспендираните честички и N</w:t>
      </w:r>
      <w:r>
        <w:rPr>
          <w:rFonts w:cs="Calibri"/>
          <w:bdr w:val="nil"/>
          <w:vertAlign w:val="subscript"/>
          <w:lang w:val="mk-MK" w:bidi="mk-MK"/>
        </w:rPr>
        <w:t>2</w:t>
      </w:r>
      <w:r>
        <w:rPr>
          <w:rFonts w:cs="Calibri"/>
          <w:bdr w:val="nil"/>
          <w:lang w:val="mk-MK" w:bidi="mk-MK"/>
        </w:rPr>
        <w:t xml:space="preserve">O. </w:t>
      </w:r>
    </w:p>
    <w:p w14:paraId="476DBA9E" w14:textId="77777777" w:rsidR="00B16C23" w:rsidRDefault="00B16C04" w:rsidP="005748BE">
      <w:pPr>
        <w:pStyle w:val="Heading2"/>
        <w:numPr>
          <w:ilvl w:val="1"/>
          <w:numId w:val="5"/>
        </w:numPr>
        <w:rPr>
          <w:lang w:val="ro-RO"/>
        </w:rPr>
      </w:pPr>
      <w:bookmarkStart w:id="95" w:name="_Toc444009848"/>
      <w:r>
        <w:rPr>
          <w:rFonts w:eastAsia="Calibri" w:cs="Calibri"/>
          <w:szCs w:val="32"/>
          <w:bdr w:val="nil"/>
          <w:lang w:val="mk-MK" w:bidi="mk-MK"/>
        </w:rPr>
        <w:lastRenderedPageBreak/>
        <w:t>Други прашања во врска со животната средина</w:t>
      </w:r>
      <w:bookmarkEnd w:id="95"/>
      <w:r>
        <w:rPr>
          <w:rFonts w:eastAsia="Calibri" w:cs="Calibri"/>
          <w:szCs w:val="32"/>
          <w:bdr w:val="nil"/>
          <w:lang w:val="mk-MK" w:bidi="mk-MK"/>
        </w:rPr>
        <w:t xml:space="preserve"> </w:t>
      </w:r>
    </w:p>
    <w:p w14:paraId="579D0AB4" w14:textId="270F77B8" w:rsidR="00B16C23" w:rsidRDefault="00AB6A80" w:rsidP="005748BE">
      <w:pPr>
        <w:pStyle w:val="Heading3"/>
        <w:numPr>
          <w:ilvl w:val="2"/>
          <w:numId w:val="5"/>
        </w:numPr>
        <w:rPr>
          <w:lang w:val="ro-RO"/>
        </w:rPr>
      </w:pPr>
      <w:bookmarkStart w:id="96" w:name="_Toc444009849"/>
      <w:r>
        <w:rPr>
          <w:rFonts w:eastAsia="Calibri" w:cs="Calibri"/>
          <w:szCs w:val="28"/>
          <w:bdr w:val="nil"/>
          <w:lang w:val="mk-MK" w:bidi="mk-MK"/>
        </w:rPr>
        <w:t>П</w:t>
      </w:r>
      <w:r w:rsidR="00B16C04">
        <w:rPr>
          <w:rFonts w:eastAsia="Calibri" w:cs="Calibri"/>
          <w:szCs w:val="28"/>
          <w:bdr w:val="nil"/>
          <w:lang w:val="mk-MK" w:bidi="mk-MK"/>
        </w:rPr>
        <w:t>отрошувачка на енергија и ефикасност</w:t>
      </w:r>
      <w:bookmarkEnd w:id="96"/>
      <w:r w:rsidR="00B16C04">
        <w:rPr>
          <w:rFonts w:eastAsia="Calibri" w:cs="Calibri"/>
          <w:szCs w:val="28"/>
          <w:bdr w:val="nil"/>
          <w:lang w:val="mk-MK" w:bidi="mk-MK"/>
        </w:rPr>
        <w:t xml:space="preserve"> </w:t>
      </w:r>
    </w:p>
    <w:p w14:paraId="3EB07AED" w14:textId="3E70E138" w:rsidR="00B16C23" w:rsidRPr="00623485" w:rsidRDefault="00B16C04" w:rsidP="00B16C23">
      <w:pPr>
        <w:rPr>
          <w:lang w:val="mk-MK"/>
        </w:rPr>
      </w:pPr>
      <w:r>
        <w:rPr>
          <w:rFonts w:cs="Calibri"/>
          <w:bdr w:val="nil"/>
          <w:lang w:val="mk-MK" w:bidi="mk-MK"/>
        </w:rPr>
        <w:t>Во Поглавје 10.1.5 од НДТ 7, опишани се неколку техники со кои може да се зголеми енергетската ефикасност на постројките за согорување.   Меѓу другите техники дадени се и употре</w:t>
      </w:r>
      <w:r w:rsidR="00914927">
        <w:rPr>
          <w:rFonts w:cs="Calibri"/>
          <w:bdr w:val="nil"/>
          <w:lang w:val="mk-MK" w:bidi="mk-MK"/>
        </w:rPr>
        <w:t>НДТ</w:t>
      </w:r>
      <w:r>
        <w:rPr>
          <w:rFonts w:cs="Calibri"/>
          <w:bdr w:val="nil"/>
          <w:lang w:val="mk-MK" w:bidi="mk-MK"/>
        </w:rPr>
        <w:t>а на ултра суперкритични и суперкритични парни услови, оп</w:t>
      </w:r>
      <w:r w:rsidR="00447666">
        <w:rPr>
          <w:rFonts w:cs="Calibri"/>
          <w:bdr w:val="nil"/>
          <w:lang w:val="mk-MK" w:bidi="mk-MK"/>
        </w:rPr>
        <w:t>т</w:t>
      </w:r>
      <w:r>
        <w:rPr>
          <w:rFonts w:cs="Calibri"/>
          <w:bdr w:val="nil"/>
          <w:lang w:val="mk-MK" w:bidi="mk-MK"/>
        </w:rPr>
        <w:t xml:space="preserve">имизација на парниот циклус, искористување на топлина при когенерација, претходно загревање на воздухот за согорување итн. </w:t>
      </w:r>
    </w:p>
    <w:p w14:paraId="1368A048" w14:textId="19723929" w:rsidR="00B16C23" w:rsidRDefault="00B16C04" w:rsidP="00B16C23">
      <w:pPr>
        <w:pStyle w:val="NoSpacing"/>
        <w:rPr>
          <w:lang w:val="ro-RO"/>
        </w:rPr>
      </w:pPr>
      <w:r>
        <w:rPr>
          <w:rFonts w:cs="Calibri"/>
          <w:bdr w:val="nil"/>
          <w:lang w:val="mk-MK" w:bidi="mk-MK"/>
        </w:rPr>
        <w:t xml:space="preserve">Во различни НДТ во </w:t>
      </w:r>
      <w:r w:rsidR="003528C6">
        <w:rPr>
          <w:rFonts w:cs="Calibri"/>
          <w:bdr w:val="nil"/>
          <w:lang w:val="mk-MK" w:bidi="mk-MK"/>
        </w:rPr>
        <w:t xml:space="preserve">БРЕФ </w:t>
      </w:r>
      <w:r>
        <w:rPr>
          <w:rFonts w:cs="Calibri"/>
          <w:bdr w:val="nil"/>
          <w:lang w:val="mk-MK" w:bidi="mk-MK"/>
        </w:rPr>
        <w:t xml:space="preserve">за големи постројки </w:t>
      </w:r>
      <w:r w:rsidR="00447666">
        <w:rPr>
          <w:rFonts w:cs="Calibri"/>
          <w:bdr w:val="nil"/>
          <w:lang w:val="mk-MK" w:bidi="mk-MK"/>
        </w:rPr>
        <w:t>за согорување постојат и други н</w:t>
      </w:r>
      <w:r>
        <w:rPr>
          <w:rFonts w:cs="Calibri"/>
          <w:bdr w:val="nil"/>
          <w:lang w:val="mk-MK" w:bidi="mk-MK"/>
        </w:rPr>
        <w:t>ајдобри достапни техники за подобрување на енергетската ефикасност (НДТ 18, 25, 31, 35, 40, 44, 51, 64, 73, 82).</w:t>
      </w:r>
    </w:p>
    <w:p w14:paraId="2FD996E4" w14:textId="77777777" w:rsidR="00B16C23" w:rsidRDefault="00B16C23" w:rsidP="00B16C23">
      <w:pPr>
        <w:rPr>
          <w:lang w:val="ro-RO"/>
        </w:rPr>
      </w:pPr>
    </w:p>
    <w:p w14:paraId="497E6D2A" w14:textId="77777777" w:rsidR="00B16C23" w:rsidRDefault="00B16C04" w:rsidP="005748BE">
      <w:pPr>
        <w:pStyle w:val="Heading3"/>
        <w:numPr>
          <w:ilvl w:val="2"/>
          <w:numId w:val="5"/>
        </w:numPr>
        <w:rPr>
          <w:lang w:val="ro-RO"/>
        </w:rPr>
      </w:pPr>
      <w:bookmarkStart w:id="97" w:name="_Toc444009850"/>
      <w:r>
        <w:rPr>
          <w:rFonts w:eastAsia="Calibri" w:cs="Calibri"/>
          <w:szCs w:val="28"/>
          <w:bdr w:val="nil"/>
          <w:lang w:val="mk-MK" w:bidi="mk-MK"/>
        </w:rPr>
        <w:t>Управување со природните ресурси</w:t>
      </w:r>
      <w:bookmarkEnd w:id="97"/>
      <w:r>
        <w:rPr>
          <w:rFonts w:eastAsia="Calibri" w:cs="Calibri"/>
          <w:szCs w:val="28"/>
          <w:bdr w:val="nil"/>
          <w:lang w:val="mk-MK" w:bidi="mk-MK"/>
        </w:rPr>
        <w:t xml:space="preserve"> </w:t>
      </w:r>
    </w:p>
    <w:p w14:paraId="122EB0EA" w14:textId="1423178A" w:rsidR="00B16C23" w:rsidRPr="00623485" w:rsidRDefault="00447666" w:rsidP="00B16C23">
      <w:pPr>
        <w:rPr>
          <w:lang w:val="ro-RO"/>
        </w:rPr>
      </w:pPr>
      <w:r>
        <w:rPr>
          <w:rFonts w:cs="Calibri"/>
          <w:bdr w:val="nil"/>
          <w:lang w:val="mk-MK" w:bidi="mk-MK"/>
        </w:rPr>
        <w:t>НДТ 1 (Систем</w:t>
      </w:r>
      <w:r w:rsidR="00B16C04">
        <w:rPr>
          <w:rFonts w:cs="Calibri"/>
          <w:bdr w:val="nil"/>
          <w:lang w:val="mk-MK" w:bidi="mk-MK"/>
        </w:rPr>
        <w:t xml:space="preserve"> за управување со животната средина), НДТ 5 (карактеризација на горивата), НДТ 6 (</w:t>
      </w:r>
      <w:r>
        <w:rPr>
          <w:rFonts w:cs="Calibri"/>
          <w:bdr w:val="nil"/>
          <w:lang w:val="mk-MK" w:bidi="mk-MK"/>
        </w:rPr>
        <w:t>време</w:t>
      </w:r>
      <w:r w:rsidR="00B16C04">
        <w:rPr>
          <w:rFonts w:cs="Calibri"/>
          <w:bdr w:val="nil"/>
          <w:lang w:val="mk-MK" w:bidi="mk-MK"/>
        </w:rPr>
        <w:t xml:space="preserve"> на палење и гаснење на печките) и (НДТ 16 за престанок на работа на постројката) од заклучоците за НДТ од </w:t>
      </w:r>
      <w:r w:rsidR="003528C6">
        <w:rPr>
          <w:rFonts w:cs="Calibri"/>
          <w:bdr w:val="nil"/>
          <w:lang w:val="mk-MK" w:bidi="mk-MK"/>
        </w:rPr>
        <w:t xml:space="preserve">БРЕФ </w:t>
      </w:r>
      <w:r w:rsidR="00B16C04">
        <w:rPr>
          <w:rFonts w:cs="Calibri"/>
          <w:bdr w:val="nil"/>
          <w:lang w:val="mk-MK" w:bidi="mk-MK"/>
        </w:rPr>
        <w:t xml:space="preserve">за големи постројки за согорување се применливи и ги опишуваат обврските </w:t>
      </w:r>
      <w:r w:rsidR="00BA7A71">
        <w:rPr>
          <w:rFonts w:cs="Calibri"/>
          <w:bdr w:val="nil"/>
          <w:lang w:val="mk-MK" w:bidi="mk-MK"/>
        </w:rPr>
        <w:t>за подобрување на</w:t>
      </w:r>
      <w:r w:rsidR="00B16C04">
        <w:rPr>
          <w:rFonts w:cs="Calibri"/>
          <w:bdr w:val="nil"/>
          <w:lang w:val="mk-MK" w:bidi="mk-MK"/>
        </w:rPr>
        <w:t xml:space="preserve"> управувањето со природните ресурси кај постро</w:t>
      </w:r>
      <w:r w:rsidR="00BA7A71">
        <w:rPr>
          <w:rFonts w:cs="Calibri"/>
          <w:bdr w:val="nil"/>
          <w:lang w:val="mk-MK" w:bidi="mk-MK"/>
        </w:rPr>
        <w:t>ј</w:t>
      </w:r>
      <w:r w:rsidR="00B16C04">
        <w:rPr>
          <w:rFonts w:cs="Calibri"/>
          <w:bdr w:val="nil"/>
          <w:lang w:val="mk-MK" w:bidi="mk-MK"/>
        </w:rPr>
        <w:t xml:space="preserve">ките и инсталациите за согорување. </w:t>
      </w:r>
    </w:p>
    <w:p w14:paraId="2445AD84" w14:textId="77777777" w:rsidR="00B16C23" w:rsidRPr="00623485" w:rsidRDefault="00B16C23" w:rsidP="00B16C23">
      <w:pPr>
        <w:pStyle w:val="Heading1"/>
        <w:rPr>
          <w:lang w:val="ro-RO"/>
        </w:rPr>
      </w:pPr>
    </w:p>
    <w:p w14:paraId="10B52FE8" w14:textId="77777777" w:rsidR="0068028B" w:rsidRPr="005D62D4" w:rsidRDefault="00B16C04" w:rsidP="0068028B">
      <w:pPr>
        <w:pStyle w:val="Heading1"/>
        <w:numPr>
          <w:ilvl w:val="0"/>
          <w:numId w:val="1"/>
        </w:numPr>
      </w:pPr>
      <w:r>
        <w:rPr>
          <w:rFonts w:eastAsia="Calibri" w:cs="Calibri"/>
          <w:iCs/>
          <w:szCs w:val="40"/>
          <w:bdr w:val="nil"/>
          <w:lang w:val="mk-MK" w:bidi="mk-MK"/>
        </w:rPr>
        <w:br w:type="page"/>
      </w:r>
      <w:bookmarkStart w:id="98" w:name="_Toc438839304"/>
      <w:bookmarkStart w:id="99" w:name="_Toc440385271"/>
      <w:bookmarkStart w:id="100" w:name="_Toc444009851"/>
      <w:r w:rsidR="0068028B" w:rsidRPr="005D62D4">
        <w:rPr>
          <w:lang w:val="mk-MK"/>
        </w:rPr>
        <w:lastRenderedPageBreak/>
        <w:t>Инспекција</w:t>
      </w:r>
      <w:bookmarkEnd w:id="98"/>
      <w:bookmarkEnd w:id="99"/>
      <w:bookmarkEnd w:id="100"/>
    </w:p>
    <w:p w14:paraId="40E4E8B2" w14:textId="77777777" w:rsidR="0068028B" w:rsidRPr="0068028B" w:rsidRDefault="0068028B" w:rsidP="0068028B">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mk-MK"/>
        </w:rPr>
      </w:pPr>
      <w:bookmarkStart w:id="101" w:name="_Toc437961545"/>
      <w:bookmarkStart w:id="102" w:name="_Toc437964807"/>
      <w:bookmarkStart w:id="103" w:name="_Toc438036521"/>
      <w:bookmarkStart w:id="104" w:name="_Toc438036566"/>
      <w:bookmarkStart w:id="105" w:name="_Toc438052406"/>
      <w:bookmarkStart w:id="106" w:name="_Toc438052450"/>
      <w:bookmarkStart w:id="107" w:name="_Toc438132078"/>
      <w:bookmarkStart w:id="108" w:name="_Toc438141011"/>
      <w:bookmarkStart w:id="109" w:name="_Toc438211404"/>
      <w:bookmarkStart w:id="110" w:name="_Toc438217553"/>
      <w:bookmarkStart w:id="111" w:name="_Toc438218759"/>
      <w:bookmarkStart w:id="112" w:name="_Toc440385272"/>
      <w:bookmarkStart w:id="113" w:name="_Toc440899892"/>
      <w:bookmarkStart w:id="114" w:name="_Toc440978674"/>
      <w:bookmarkStart w:id="115" w:name="_Toc444009852"/>
      <w:bookmarkStart w:id="116" w:name="_Toc438839306"/>
      <w:bookmarkStart w:id="117" w:name="_Toc4403852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E45C05B" w14:textId="77777777" w:rsidR="0068028B" w:rsidRPr="0068028B" w:rsidRDefault="0068028B" w:rsidP="0068028B">
      <w:pPr>
        <w:pStyle w:val="ListParagraph"/>
        <w:keepNext/>
        <w:numPr>
          <w:ilvl w:val="0"/>
          <w:numId w:val="2"/>
        </w:numPr>
        <w:spacing w:before="240" w:after="60" w:line="276" w:lineRule="auto"/>
        <w:contextualSpacing w:val="0"/>
        <w:jc w:val="both"/>
        <w:outlineLvl w:val="1"/>
        <w:rPr>
          <w:rFonts w:eastAsia="Times New Roman"/>
          <w:b/>
          <w:bCs/>
          <w:i/>
          <w:iCs/>
          <w:vanish/>
          <w:color w:val="1F4E79"/>
          <w:sz w:val="32"/>
          <w:szCs w:val="28"/>
          <w:lang w:val="mk-MK"/>
        </w:rPr>
      </w:pPr>
      <w:bookmarkStart w:id="118" w:name="_Toc440899893"/>
      <w:bookmarkStart w:id="119" w:name="_Toc440978675"/>
      <w:bookmarkStart w:id="120" w:name="_Toc444009853"/>
      <w:bookmarkEnd w:id="118"/>
      <w:bookmarkEnd w:id="119"/>
      <w:bookmarkEnd w:id="120"/>
    </w:p>
    <w:p w14:paraId="78749840" w14:textId="28BFB9C0" w:rsidR="0068028B" w:rsidRPr="005D62D4" w:rsidRDefault="0068028B" w:rsidP="0068028B">
      <w:pPr>
        <w:pStyle w:val="Heading2"/>
        <w:numPr>
          <w:ilvl w:val="1"/>
          <w:numId w:val="2"/>
        </w:numPr>
        <w:rPr>
          <w:lang w:val="ro-RO"/>
        </w:rPr>
      </w:pPr>
      <w:bookmarkStart w:id="121" w:name="_Toc444009854"/>
      <w:r w:rsidRPr="005D62D4">
        <w:rPr>
          <w:lang w:val="mk-MK"/>
        </w:rPr>
        <w:t>Подготовка пред</w:t>
      </w:r>
      <w:r w:rsidRPr="005D62D4">
        <w:rPr>
          <w:lang w:val="ro-RO"/>
        </w:rPr>
        <w:t xml:space="preserve"> </w:t>
      </w:r>
      <w:r w:rsidRPr="005D62D4">
        <w:rPr>
          <w:lang w:val="mk-MK"/>
        </w:rPr>
        <w:t>инспекцијата</w:t>
      </w:r>
      <w:bookmarkEnd w:id="116"/>
      <w:bookmarkEnd w:id="117"/>
      <w:bookmarkEnd w:id="121"/>
    </w:p>
    <w:p w14:paraId="2C01D081" w14:textId="77777777" w:rsidR="0068028B" w:rsidRPr="00B171D7" w:rsidRDefault="0068028B" w:rsidP="0068028B">
      <w:pPr>
        <w:pStyle w:val="Heading3"/>
        <w:numPr>
          <w:ilvl w:val="2"/>
          <w:numId w:val="2"/>
        </w:numPr>
        <w:rPr>
          <w:lang w:val="el-GR"/>
        </w:rPr>
      </w:pPr>
      <w:bookmarkStart w:id="122" w:name="_Toc438839307"/>
      <w:bookmarkStart w:id="123" w:name="_Toc440385274"/>
      <w:bookmarkStart w:id="124" w:name="_Toc444009855"/>
      <w:r w:rsidRPr="00B171D7">
        <w:rPr>
          <w:rFonts w:eastAsia="Calibri"/>
          <w:bCs w:val="0"/>
          <w:i/>
          <w:iCs/>
          <w:lang w:val="mk-MK"/>
        </w:rPr>
        <w:t>Одлучете за видот/времетраењето на инспекцијата</w:t>
      </w:r>
      <w:bookmarkEnd w:id="122"/>
      <w:bookmarkEnd w:id="123"/>
      <w:bookmarkEnd w:id="124"/>
    </w:p>
    <w:p w14:paraId="5CA8A513" w14:textId="77777777" w:rsidR="0068028B" w:rsidRPr="005D62D4" w:rsidRDefault="0068028B" w:rsidP="0068028B">
      <w:pPr>
        <w:rPr>
          <w:lang w:val="mk-MK"/>
        </w:rPr>
      </w:pPr>
      <w:r w:rsidRPr="005D62D4">
        <w:rPr>
          <w:lang w:val="mk-MK"/>
        </w:rPr>
        <w:t>Инспекцискиот тим ќе одлучи за видот на инспекцијата и за ресурси, вклучувајќи персонал и опрема, кои ќе бидат доделени на задачата. Примери на типови инспекција може да биде редовна инспекција на сите производствени процеси или делумна контрола на проблематичните области врз основа на жалби или во случај кога постојат индикации дека критичните гранични вредности на емисија (ELV) не можат да бидат исполнети.</w:t>
      </w:r>
    </w:p>
    <w:p w14:paraId="4CD1BD4B" w14:textId="77777777" w:rsidR="0068028B" w:rsidRPr="005D62D4" w:rsidRDefault="0068028B" w:rsidP="0068028B">
      <w:pPr>
        <w:rPr>
          <w:lang w:val="mk-MK"/>
        </w:rPr>
      </w:pPr>
      <w:r w:rsidRPr="005D62D4">
        <w:rPr>
          <w:lang w:val="mk-MK"/>
        </w:rPr>
        <w:t>Следниве аспекти треба да бидат земени предвид:</w:t>
      </w:r>
    </w:p>
    <w:p w14:paraId="2557B599" w14:textId="77777777" w:rsidR="0068028B" w:rsidRPr="005D62D4" w:rsidRDefault="0068028B" w:rsidP="005748BE">
      <w:pPr>
        <w:numPr>
          <w:ilvl w:val="0"/>
          <w:numId w:val="16"/>
        </w:numPr>
        <w:rPr>
          <w:lang w:val="mk-MK"/>
        </w:rPr>
      </w:pPr>
      <w:r w:rsidRPr="005D62D4">
        <w:rPr>
          <w:lang w:val="mk-MK"/>
        </w:rPr>
        <w:t>Сложеноста и времетраењето на инсталацијата - посложените значи повеќе инспектори кои можат да бидат потребни</w:t>
      </w:r>
    </w:p>
    <w:p w14:paraId="30DE6FC5" w14:textId="77777777" w:rsidR="0068028B" w:rsidRPr="005D62D4" w:rsidRDefault="0068028B" w:rsidP="005748BE">
      <w:pPr>
        <w:numPr>
          <w:ilvl w:val="0"/>
          <w:numId w:val="16"/>
        </w:numPr>
        <w:rPr>
          <w:lang w:val="mk-MK"/>
        </w:rPr>
      </w:pPr>
      <w:r w:rsidRPr="005D62D4">
        <w:rPr>
          <w:lang w:val="mk-MK"/>
        </w:rPr>
        <w:t>Рок на инспекција - од безбедносни причини се препорачува во текот на ноќта двајца инспектори да ја спроведат инспекцијата;</w:t>
      </w:r>
    </w:p>
    <w:p w14:paraId="6072B374" w14:textId="77777777" w:rsidR="0068028B" w:rsidRPr="005D62D4" w:rsidRDefault="0068028B" w:rsidP="005748BE">
      <w:pPr>
        <w:numPr>
          <w:ilvl w:val="0"/>
          <w:numId w:val="16"/>
        </w:numPr>
        <w:rPr>
          <w:lang w:val="mk-MK"/>
        </w:rPr>
      </w:pPr>
      <w:r w:rsidRPr="005D62D4">
        <w:rPr>
          <w:lang w:val="mk-MK"/>
        </w:rPr>
        <w:t>За вонредни инспекции, особено тие што се вршат по приговор и проблематична ситуација, препорачливо е да се назначат двајца инспектори на тоа;</w:t>
      </w:r>
    </w:p>
    <w:p w14:paraId="2B5B4FA5" w14:textId="77777777" w:rsidR="0068028B" w:rsidRPr="005D62D4" w:rsidRDefault="0068028B" w:rsidP="005748BE">
      <w:pPr>
        <w:numPr>
          <w:ilvl w:val="0"/>
          <w:numId w:val="16"/>
        </w:numPr>
        <w:rPr>
          <w:lang w:val="mk-MK"/>
        </w:rPr>
      </w:pPr>
      <w:r w:rsidRPr="005D62D4">
        <w:rPr>
          <w:lang w:val="mk-MK"/>
        </w:rPr>
        <w:t>Временска состојба, како и за време на една година - можеби ќе биде потребна некоја дополнителна опрема (на пр факели, заштитна облека, итн).</w:t>
      </w:r>
    </w:p>
    <w:p w14:paraId="690B32FF" w14:textId="77777777" w:rsidR="0068028B" w:rsidRPr="000800A7" w:rsidRDefault="0068028B" w:rsidP="005748BE">
      <w:pPr>
        <w:numPr>
          <w:ilvl w:val="0"/>
          <w:numId w:val="16"/>
        </w:numPr>
        <w:rPr>
          <w:lang w:val="mk-MK"/>
        </w:rPr>
      </w:pPr>
      <w:r w:rsidRPr="005D62D4">
        <w:rPr>
          <w:lang w:val="mk-MK"/>
        </w:rPr>
        <w:t>Потребни ресурси (човек-моќ / опрема, безбедносни мерки на претпазливост)</w:t>
      </w:r>
    </w:p>
    <w:p w14:paraId="6DB05A78" w14:textId="77777777" w:rsidR="0068028B" w:rsidRPr="000800A7" w:rsidRDefault="0068028B" w:rsidP="005748BE">
      <w:pPr>
        <w:numPr>
          <w:ilvl w:val="0"/>
          <w:numId w:val="15"/>
        </w:numPr>
        <w:spacing w:after="0"/>
        <w:rPr>
          <w:lang w:val="mk-MK"/>
        </w:rPr>
      </w:pPr>
      <w:r w:rsidRPr="005D62D4">
        <w:rPr>
          <w:lang w:val="mk-MK"/>
        </w:rPr>
        <w:t xml:space="preserve">Во однос на претходната точка, препорачливо е да се има </w:t>
      </w:r>
      <w:r w:rsidRPr="00317E2F">
        <w:rPr>
          <w:b/>
          <w:lang w:val="mk-MK"/>
        </w:rPr>
        <w:t>чек-листа на потребната</w:t>
      </w:r>
      <w:r w:rsidRPr="005D62D4">
        <w:rPr>
          <w:lang w:val="mk-MK"/>
        </w:rPr>
        <w:t xml:space="preserve"> опрема (вклучително и безбедносната опрема, потребна за земање мостри опрема во случај земање примерок, лаптоп ако е достапен и лесен ...). </w:t>
      </w:r>
    </w:p>
    <w:p w14:paraId="218B94C6" w14:textId="77777777" w:rsidR="0068028B" w:rsidRPr="00B171D7" w:rsidRDefault="0068028B" w:rsidP="0068028B">
      <w:pPr>
        <w:pStyle w:val="Heading3"/>
        <w:numPr>
          <w:ilvl w:val="2"/>
          <w:numId w:val="2"/>
        </w:numPr>
        <w:rPr>
          <w:lang w:val="mk-MK"/>
        </w:rPr>
      </w:pPr>
      <w:bookmarkStart w:id="125" w:name="_Toc438058574"/>
      <w:bookmarkStart w:id="126" w:name="_Toc440385275"/>
      <w:bookmarkStart w:id="127" w:name="_Toc444009856"/>
      <w:r w:rsidRPr="00B171D7">
        <w:rPr>
          <w:lang w:val="mk-MK"/>
        </w:rPr>
        <w:t>Електронска (десктоп) студија во канцеларија -собирање на информации и податоци</w:t>
      </w:r>
      <w:bookmarkEnd w:id="125"/>
      <w:bookmarkEnd w:id="126"/>
      <w:bookmarkEnd w:id="127"/>
    </w:p>
    <w:p w14:paraId="02D7280E" w14:textId="77777777" w:rsidR="0068028B" w:rsidRPr="005D62D4" w:rsidRDefault="0068028B" w:rsidP="0068028B">
      <w:pPr>
        <w:rPr>
          <w:b/>
          <w:lang w:val="mk-MK"/>
        </w:rPr>
      </w:pPr>
      <w:r w:rsidRPr="005D62D4">
        <w:rPr>
          <w:lang w:val="mk-MK"/>
        </w:rPr>
        <w:t xml:space="preserve">Собирање и оценка на постоечките информации за инсталација е од клучно значење за успехот на инспекцијата, бидејќи им овозможува полесно формулација на насочени прашања за интервјуто на операторот и конкретната истрага на овие оперативни единици кои покажуваат најголем потенцијал за непридржување со условите утврдени во одлуката од ЕИА или надминување на поставените ГВО во еколошка дозвола. </w:t>
      </w:r>
      <w:r w:rsidRPr="005D62D4">
        <w:rPr>
          <w:b/>
          <w:lang w:val="mk-MK"/>
        </w:rPr>
        <w:t>Примерите за собирање на информации се наведени подолу:</w:t>
      </w:r>
    </w:p>
    <w:p w14:paraId="13285670" w14:textId="77777777" w:rsidR="0068028B" w:rsidRPr="005D62D4" w:rsidRDefault="0068028B" w:rsidP="005748BE">
      <w:pPr>
        <w:numPr>
          <w:ilvl w:val="0"/>
          <w:numId w:val="10"/>
        </w:numPr>
        <w:spacing w:after="120" w:line="240" w:lineRule="auto"/>
        <w:ind w:left="714" w:hanging="357"/>
        <w:rPr>
          <w:lang w:val="mk-MK"/>
        </w:rPr>
      </w:pPr>
      <w:r w:rsidRPr="005D62D4">
        <w:rPr>
          <w:lang w:val="mk-MK"/>
        </w:rPr>
        <w:t>Извештаи од претходните инспекции</w:t>
      </w:r>
    </w:p>
    <w:p w14:paraId="0D88C6C2" w14:textId="77777777" w:rsidR="0068028B" w:rsidRPr="005D62D4" w:rsidRDefault="0068028B" w:rsidP="005748BE">
      <w:pPr>
        <w:numPr>
          <w:ilvl w:val="0"/>
          <w:numId w:val="10"/>
        </w:numPr>
        <w:spacing w:after="120" w:line="240" w:lineRule="auto"/>
        <w:ind w:left="714" w:hanging="357"/>
        <w:rPr>
          <w:lang w:val="mk-MK"/>
        </w:rPr>
      </w:pPr>
      <w:r w:rsidRPr="005D62D4">
        <w:rPr>
          <w:lang w:val="mk-MK"/>
        </w:rPr>
        <w:t>Мапи</w:t>
      </w:r>
    </w:p>
    <w:p w14:paraId="533DB034" w14:textId="77777777" w:rsidR="0068028B" w:rsidRPr="005D62D4" w:rsidRDefault="0068028B" w:rsidP="005748BE">
      <w:pPr>
        <w:numPr>
          <w:ilvl w:val="0"/>
          <w:numId w:val="10"/>
        </w:numPr>
        <w:spacing w:after="120" w:line="240" w:lineRule="auto"/>
        <w:ind w:left="714" w:hanging="357"/>
        <w:rPr>
          <w:lang w:val="mk-MK"/>
        </w:rPr>
      </w:pPr>
      <w:r w:rsidRPr="005D62D4">
        <w:rPr>
          <w:lang w:val="mk-MK"/>
        </w:rPr>
        <w:lastRenderedPageBreak/>
        <w:t>Оценка на влијанието врз животната средина</w:t>
      </w:r>
    </w:p>
    <w:p w14:paraId="009DAFC8" w14:textId="77777777" w:rsidR="0068028B" w:rsidRPr="005D62D4" w:rsidRDefault="0068028B" w:rsidP="005748BE">
      <w:pPr>
        <w:numPr>
          <w:ilvl w:val="0"/>
          <w:numId w:val="10"/>
        </w:numPr>
        <w:spacing w:after="120" w:line="240" w:lineRule="auto"/>
        <w:ind w:left="714" w:hanging="357"/>
        <w:rPr>
          <w:lang w:val="mk-MK"/>
        </w:rPr>
      </w:pPr>
      <w:r w:rsidRPr="005D62D4">
        <w:rPr>
          <w:lang w:val="mk-MK"/>
        </w:rPr>
        <w:t>Барање за издавање на дозволи</w:t>
      </w:r>
    </w:p>
    <w:p w14:paraId="3C6D4CEB" w14:textId="77777777" w:rsidR="0068028B" w:rsidRPr="005D62D4" w:rsidRDefault="0068028B" w:rsidP="005748BE">
      <w:pPr>
        <w:numPr>
          <w:ilvl w:val="0"/>
          <w:numId w:val="10"/>
        </w:numPr>
        <w:spacing w:after="120" w:line="240" w:lineRule="auto"/>
        <w:ind w:left="714" w:hanging="357"/>
        <w:rPr>
          <w:lang w:val="mk-MK"/>
        </w:rPr>
      </w:pPr>
      <w:r w:rsidRPr="005D62D4">
        <w:rPr>
          <w:lang w:val="mk-MK"/>
        </w:rPr>
        <w:t>Еколошки дозволи</w:t>
      </w:r>
    </w:p>
    <w:p w14:paraId="482CB53A" w14:textId="77777777" w:rsidR="0068028B" w:rsidRPr="005D62D4" w:rsidRDefault="0068028B" w:rsidP="005748BE">
      <w:pPr>
        <w:numPr>
          <w:ilvl w:val="0"/>
          <w:numId w:val="10"/>
        </w:numPr>
        <w:spacing w:after="120" w:line="240" w:lineRule="auto"/>
        <w:ind w:left="714" w:hanging="357"/>
        <w:rPr>
          <w:lang w:val="mk-MK"/>
        </w:rPr>
      </w:pPr>
      <w:r w:rsidRPr="005D62D4">
        <w:rPr>
          <w:lang w:val="mk-MK"/>
        </w:rPr>
        <w:t>Еколошки извештаи доставени од операторите, вклучително и оние за следење/мониторинг</w:t>
      </w:r>
    </w:p>
    <w:p w14:paraId="76315FEA" w14:textId="77777777" w:rsidR="0068028B" w:rsidRPr="005D62D4" w:rsidRDefault="0068028B" w:rsidP="005748BE">
      <w:pPr>
        <w:numPr>
          <w:ilvl w:val="0"/>
          <w:numId w:val="10"/>
        </w:numPr>
        <w:spacing w:after="120" w:line="240" w:lineRule="auto"/>
        <w:ind w:left="714" w:hanging="357"/>
        <w:rPr>
          <w:lang w:val="mk-MK"/>
        </w:rPr>
      </w:pPr>
      <w:r w:rsidRPr="005D62D4">
        <w:rPr>
          <w:lang w:val="mk-MK"/>
        </w:rPr>
        <w:t>Жалби добиени од граѓани за инсталацијата</w:t>
      </w:r>
    </w:p>
    <w:p w14:paraId="5F3978C9" w14:textId="6AAF0CB9" w:rsidR="0068028B" w:rsidRPr="006E1ABB" w:rsidRDefault="0068028B" w:rsidP="005748BE">
      <w:pPr>
        <w:numPr>
          <w:ilvl w:val="0"/>
          <w:numId w:val="10"/>
        </w:numPr>
        <w:spacing w:after="120" w:line="240" w:lineRule="auto"/>
        <w:ind w:left="714" w:hanging="357"/>
        <w:jc w:val="left"/>
        <w:rPr>
          <w:lang w:val="mk-MK"/>
        </w:rPr>
      </w:pPr>
      <w:r w:rsidRPr="009F2DDA">
        <w:rPr>
          <w:lang w:val="mk-MK"/>
        </w:rPr>
        <w:t xml:space="preserve">БРЕФ </w:t>
      </w:r>
      <w:r w:rsidR="009F2DDA">
        <w:rPr>
          <w:lang w:val="mk-MK"/>
        </w:rPr>
        <w:t xml:space="preserve">за Големи постројки за согорување: Прв нацрт на вротиот БРЕФ (јуни 2013), глава 10 од НДТ заклучоците </w:t>
      </w:r>
      <w:hyperlink r:id="rId14" w:history="1">
        <w:r w:rsidR="009F2DDA">
          <w:rPr>
            <w:rStyle w:val="Hyperlink"/>
            <w:rFonts w:cs="Calibri"/>
            <w:bdr w:val="none" w:sz="0" w:space="0" w:color="auto" w:frame="1"/>
            <w:lang w:val="mk-MK" w:bidi="mk-MK"/>
          </w:rPr>
          <w:t>http://eippcb.jrc.ec.europa.eu/reference/BREF/LCP_D1_June_online.pdf</w:t>
        </w:r>
      </w:hyperlink>
    </w:p>
    <w:p w14:paraId="3ADB9CB3" w14:textId="310EF366" w:rsidR="0068028B" w:rsidRPr="009F2DDA" w:rsidRDefault="009F2DDA" w:rsidP="005748BE">
      <w:pPr>
        <w:numPr>
          <w:ilvl w:val="0"/>
          <w:numId w:val="10"/>
        </w:numPr>
        <w:spacing w:after="120" w:line="240" w:lineRule="auto"/>
        <w:ind w:left="714" w:hanging="357"/>
        <w:rPr>
          <w:lang w:val="mk-MK"/>
        </w:rPr>
      </w:pPr>
      <w:r>
        <w:rPr>
          <w:lang w:val="mk-MK"/>
        </w:rPr>
        <w:t>PRTR и други регистри како регистерот за загадувачки супстанции во воздухот, регистер на производители и менаџери на отпад</w:t>
      </w:r>
    </w:p>
    <w:p w14:paraId="1617452A" w14:textId="77777777" w:rsidR="0068028B" w:rsidRPr="005D62D4" w:rsidRDefault="0068028B" w:rsidP="005748BE">
      <w:pPr>
        <w:numPr>
          <w:ilvl w:val="0"/>
          <w:numId w:val="10"/>
        </w:numPr>
        <w:spacing w:after="120" w:line="240" w:lineRule="auto"/>
        <w:ind w:left="714" w:hanging="357"/>
        <w:rPr>
          <w:lang w:val="mk-MK"/>
        </w:rPr>
      </w:pPr>
      <w:r w:rsidRPr="005D62D4">
        <w:rPr>
          <w:lang w:val="mk-MK"/>
        </w:rPr>
        <w:t>Информации за инсталации добиени од другите надлежни органи</w:t>
      </w:r>
    </w:p>
    <w:p w14:paraId="15C51056" w14:textId="77777777" w:rsidR="0068028B" w:rsidRPr="005D62D4" w:rsidRDefault="0068028B" w:rsidP="005748BE">
      <w:pPr>
        <w:numPr>
          <w:ilvl w:val="0"/>
          <w:numId w:val="10"/>
        </w:numPr>
        <w:spacing w:after="120" w:line="240" w:lineRule="auto"/>
        <w:ind w:left="714" w:hanging="357"/>
        <w:rPr>
          <w:lang w:val="mk-MK"/>
        </w:rPr>
      </w:pPr>
      <w:r w:rsidRPr="005D62D4">
        <w:rPr>
          <w:lang w:val="mk-MK"/>
        </w:rPr>
        <w:t>Интернет достапни информации (веб-страница на компанијата)</w:t>
      </w:r>
    </w:p>
    <w:p w14:paraId="44106FEF" w14:textId="77777777" w:rsidR="0068028B" w:rsidRPr="00455E18" w:rsidRDefault="0068028B" w:rsidP="0068028B">
      <w:pPr>
        <w:rPr>
          <w:lang w:val="mk-MK"/>
        </w:rPr>
      </w:pPr>
    </w:p>
    <w:p w14:paraId="45A3029C" w14:textId="77777777" w:rsidR="0068028B" w:rsidRPr="005D62D4" w:rsidRDefault="0068028B" w:rsidP="0068028B">
      <w:pPr>
        <w:rPr>
          <w:lang w:val="mk-MK"/>
        </w:rPr>
      </w:pPr>
      <w:r w:rsidRPr="005D62D4">
        <w:rPr>
          <w:lang w:val="mk-MK"/>
        </w:rPr>
        <w:t xml:space="preserve">Врз основа на евалуацијата на собраните информации  </w:t>
      </w:r>
      <w:r w:rsidRPr="005D62D4">
        <w:rPr>
          <w:b/>
          <w:lang w:val="mk-MK"/>
        </w:rPr>
        <w:t>следново треба да се подготви</w:t>
      </w:r>
      <w:r w:rsidRPr="005D62D4">
        <w:rPr>
          <w:lang w:val="mk-MK"/>
        </w:rPr>
        <w:t>:</w:t>
      </w:r>
    </w:p>
    <w:p w14:paraId="19A7EBE6" w14:textId="77777777" w:rsidR="0068028B" w:rsidRPr="005D62D4" w:rsidRDefault="0068028B" w:rsidP="005748BE">
      <w:pPr>
        <w:numPr>
          <w:ilvl w:val="0"/>
          <w:numId w:val="11"/>
        </w:numPr>
        <w:spacing w:after="120"/>
        <w:ind w:left="714" w:hanging="357"/>
        <w:rPr>
          <w:lang w:val="mk-MK"/>
        </w:rPr>
      </w:pPr>
      <w:r w:rsidRPr="005D62D4">
        <w:rPr>
          <w:lang w:val="mk-MK"/>
        </w:rPr>
        <w:t>Сеопфатен прашалник кој ќе се користи на интервјуто со операторот</w:t>
      </w:r>
    </w:p>
    <w:p w14:paraId="5A118622" w14:textId="77777777" w:rsidR="0068028B" w:rsidRPr="005D62D4" w:rsidRDefault="0068028B" w:rsidP="005748BE">
      <w:pPr>
        <w:numPr>
          <w:ilvl w:val="0"/>
          <w:numId w:val="11"/>
        </w:numPr>
        <w:spacing w:after="120"/>
        <w:ind w:left="714" w:hanging="357"/>
        <w:rPr>
          <w:lang w:val="mk-MK"/>
        </w:rPr>
      </w:pPr>
      <w:r w:rsidRPr="005D62D4">
        <w:rPr>
          <w:b/>
          <w:lang w:val="mk-MK"/>
        </w:rPr>
        <w:t>Листа на проверка</w:t>
      </w:r>
      <w:r w:rsidRPr="005D62D4">
        <w:rPr>
          <w:lang w:val="mk-MK"/>
        </w:rPr>
        <w:t xml:space="preserve"> за да се олесни инспекција (види ја следната подточка).</w:t>
      </w:r>
    </w:p>
    <w:p w14:paraId="6D53AD4D" w14:textId="77777777" w:rsidR="0068028B" w:rsidRPr="005D62D4" w:rsidRDefault="0068028B" w:rsidP="005748BE">
      <w:pPr>
        <w:numPr>
          <w:ilvl w:val="0"/>
          <w:numId w:val="11"/>
        </w:numPr>
        <w:spacing w:after="120"/>
        <w:ind w:left="714" w:hanging="357"/>
        <w:rPr>
          <w:lang w:val="mk-MK"/>
        </w:rPr>
      </w:pPr>
      <w:r w:rsidRPr="005D62D4">
        <w:rPr>
          <w:lang w:val="mk-MK"/>
        </w:rPr>
        <w:t>Краток преглед на "критична" ГВО (т.е. оние параметри кои значително придонесуваат за загадувањето , односно излегуваат од  инсталацијата)</w:t>
      </w:r>
    </w:p>
    <w:p w14:paraId="3E2C52D7" w14:textId="77777777" w:rsidR="0068028B" w:rsidRPr="005D62D4" w:rsidRDefault="0068028B" w:rsidP="005748BE">
      <w:pPr>
        <w:numPr>
          <w:ilvl w:val="0"/>
          <w:numId w:val="11"/>
        </w:numPr>
        <w:spacing w:after="120"/>
        <w:ind w:left="714" w:hanging="357"/>
        <w:rPr>
          <w:lang w:val="mk-MK"/>
        </w:rPr>
      </w:pPr>
      <w:r w:rsidRPr="005D62D4">
        <w:rPr>
          <w:lang w:val="mk-MK"/>
        </w:rPr>
        <w:t>Листата на НДТ (во согласност со издадената дозвола) која корисникот треба да ја има инсталирано и да работи според нив</w:t>
      </w:r>
    </w:p>
    <w:p w14:paraId="4572E34A" w14:textId="77777777" w:rsidR="0068028B" w:rsidRPr="005D62D4" w:rsidRDefault="0068028B" w:rsidP="005748BE">
      <w:pPr>
        <w:numPr>
          <w:ilvl w:val="0"/>
          <w:numId w:val="11"/>
        </w:numPr>
        <w:spacing w:after="120"/>
        <w:ind w:left="714" w:hanging="357"/>
        <w:rPr>
          <w:lang w:val="mk-MK"/>
        </w:rPr>
      </w:pPr>
      <w:r w:rsidRPr="005D62D4">
        <w:rPr>
          <w:lang w:val="mk-MK"/>
        </w:rPr>
        <w:t>Листата на документацијата која ја обезбедува операторот (на пример, само-мониторинг евиденција, годишните извештаи доставени до властите)</w:t>
      </w:r>
    </w:p>
    <w:p w14:paraId="638657E9" w14:textId="77777777" w:rsidR="0068028B" w:rsidRPr="005D62D4" w:rsidRDefault="0068028B" w:rsidP="005748BE">
      <w:pPr>
        <w:numPr>
          <w:ilvl w:val="0"/>
          <w:numId w:val="11"/>
        </w:numPr>
        <w:spacing w:after="120"/>
        <w:ind w:left="714" w:hanging="357"/>
        <w:rPr>
          <w:lang w:val="mk-MK"/>
        </w:rPr>
      </w:pPr>
      <w:r w:rsidRPr="005D62D4">
        <w:rPr>
          <w:lang w:val="mk-MK"/>
        </w:rPr>
        <w:t>Записници од Инспекциите и обрасци за извештајот (наменски за инсталација) да бидат пополнети на крајот на инспекцијата</w:t>
      </w:r>
    </w:p>
    <w:p w14:paraId="33E7712B" w14:textId="77777777" w:rsidR="0068028B" w:rsidRPr="005D62D4" w:rsidRDefault="0068028B" w:rsidP="005748BE">
      <w:pPr>
        <w:numPr>
          <w:ilvl w:val="0"/>
          <w:numId w:val="11"/>
        </w:numPr>
        <w:spacing w:after="120"/>
        <w:ind w:left="714" w:hanging="357"/>
        <w:rPr>
          <w:lang w:val="mk-MK"/>
        </w:rPr>
      </w:pPr>
      <w:r w:rsidRPr="005D62D4">
        <w:rPr>
          <w:b/>
          <w:lang w:val="mk-MK"/>
        </w:rPr>
        <w:t>Распоред/Агенда на инспекција</w:t>
      </w:r>
      <w:r w:rsidRPr="005D62D4">
        <w:rPr>
          <w:lang w:val="mk-MK"/>
        </w:rPr>
        <w:t xml:space="preserve"> (види го следниот подточка)</w:t>
      </w:r>
    </w:p>
    <w:p w14:paraId="50ED4B32" w14:textId="77777777" w:rsidR="0068028B" w:rsidRPr="00B171D7" w:rsidRDefault="0068028B" w:rsidP="0068028B">
      <w:pPr>
        <w:pStyle w:val="Heading3"/>
        <w:numPr>
          <w:ilvl w:val="2"/>
          <w:numId w:val="2"/>
        </w:numPr>
        <w:spacing w:line="240" w:lineRule="auto"/>
        <w:rPr>
          <w:lang w:val="mk-MK"/>
        </w:rPr>
      </w:pPr>
      <w:bookmarkStart w:id="128" w:name="_Toc440385276"/>
      <w:bookmarkStart w:id="129" w:name="_Toc444009857"/>
      <w:r w:rsidRPr="00B171D7">
        <w:rPr>
          <w:szCs w:val="28"/>
          <w:lang w:val="mk-MK"/>
        </w:rPr>
        <w:t>Обрасци за распоред/агенда на инспекцијата и листи за проверка</w:t>
      </w:r>
      <w:bookmarkEnd w:id="128"/>
      <w:bookmarkEnd w:id="129"/>
    </w:p>
    <w:p w14:paraId="3A6AAF6E" w14:textId="77777777" w:rsidR="0068028B" w:rsidRPr="005D62D4" w:rsidRDefault="0068028B" w:rsidP="0068028B">
      <w:pPr>
        <w:pStyle w:val="ListDash1"/>
        <w:numPr>
          <w:ilvl w:val="0"/>
          <w:numId w:val="0"/>
        </w:numPr>
        <w:spacing w:after="0"/>
        <w:rPr>
          <w:rFonts w:ascii="Calibri" w:eastAsia="Calibri" w:hAnsi="Calibri"/>
          <w:sz w:val="22"/>
          <w:szCs w:val="22"/>
          <w:lang w:val="mk-MK" w:eastAsia="en-US"/>
        </w:rPr>
      </w:pPr>
      <w:r w:rsidRPr="005D62D4">
        <w:rPr>
          <w:rFonts w:ascii="Calibri" w:eastAsia="Calibri" w:hAnsi="Calibri"/>
          <w:sz w:val="22"/>
          <w:szCs w:val="22"/>
          <w:lang w:val="mk-MK" w:eastAsia="en-US"/>
        </w:rPr>
        <w:t xml:space="preserve">Можете да го користите како за почеток, делумно завршен, </w:t>
      </w:r>
      <w:r w:rsidRPr="00F74C85">
        <w:rPr>
          <w:rFonts w:ascii="Calibri" w:eastAsia="Calibri" w:hAnsi="Calibri"/>
          <w:b/>
          <w:sz w:val="22"/>
          <w:szCs w:val="22"/>
          <w:lang w:val="mk-MK" w:eastAsia="en-US"/>
        </w:rPr>
        <w:t>образецот на листи на проверка</w:t>
      </w:r>
      <w:r w:rsidRPr="005D62D4">
        <w:rPr>
          <w:rFonts w:ascii="Calibri" w:eastAsia="Calibri" w:hAnsi="Calibri"/>
          <w:sz w:val="22"/>
          <w:szCs w:val="22"/>
          <w:lang w:val="mk-MK" w:eastAsia="en-US"/>
        </w:rPr>
        <w:t xml:space="preserve"> во </w:t>
      </w:r>
      <w:r w:rsidRPr="00F74C85">
        <w:rPr>
          <w:rFonts w:ascii="Calibri" w:eastAsia="Calibri" w:hAnsi="Calibri"/>
          <w:b/>
          <w:sz w:val="22"/>
          <w:szCs w:val="22"/>
          <w:lang w:val="mk-MK" w:eastAsia="en-US"/>
        </w:rPr>
        <w:t>Анексот 4</w:t>
      </w:r>
      <w:r w:rsidRPr="005D62D4">
        <w:rPr>
          <w:rFonts w:ascii="Calibri" w:eastAsia="Calibri" w:hAnsi="Calibri"/>
          <w:sz w:val="22"/>
          <w:szCs w:val="22"/>
          <w:lang w:val="mk-MK" w:eastAsia="en-US"/>
        </w:rPr>
        <w:t xml:space="preserve">, кој е </w:t>
      </w:r>
      <w:r w:rsidRPr="00F74C85">
        <w:rPr>
          <w:rFonts w:ascii="Calibri" w:eastAsia="Calibri" w:hAnsi="Calibri"/>
          <w:b/>
          <w:sz w:val="22"/>
          <w:szCs w:val="22"/>
          <w:lang w:val="mk-MK" w:eastAsia="en-US"/>
        </w:rPr>
        <w:t>прилагоден за овој сектор</w:t>
      </w:r>
      <w:r w:rsidRPr="005D62D4">
        <w:rPr>
          <w:rFonts w:ascii="Calibri" w:eastAsia="Calibri" w:hAnsi="Calibri"/>
          <w:sz w:val="22"/>
          <w:szCs w:val="22"/>
          <w:lang w:val="mk-MK" w:eastAsia="en-US"/>
        </w:rPr>
        <w:t>.</w:t>
      </w:r>
    </w:p>
    <w:p w14:paraId="29D8E8E0" w14:textId="77777777" w:rsidR="0068028B" w:rsidRPr="005D62D4" w:rsidRDefault="0068028B" w:rsidP="0068028B">
      <w:pPr>
        <w:pStyle w:val="ListDash1"/>
        <w:numPr>
          <w:ilvl w:val="0"/>
          <w:numId w:val="0"/>
        </w:numPr>
        <w:spacing w:after="0"/>
        <w:ind w:left="420"/>
        <w:rPr>
          <w:rFonts w:ascii="Calibri" w:eastAsia="Calibri" w:hAnsi="Calibri"/>
          <w:sz w:val="22"/>
          <w:szCs w:val="22"/>
          <w:lang w:val="mk-MK" w:eastAsia="en-US"/>
        </w:rPr>
      </w:pPr>
    </w:p>
    <w:p w14:paraId="016AB205" w14:textId="77777777" w:rsidR="0068028B" w:rsidRPr="0029523C" w:rsidRDefault="0068028B" w:rsidP="0068028B">
      <w:pPr>
        <w:pStyle w:val="ListParagraph"/>
        <w:spacing w:after="0"/>
        <w:ind w:left="0"/>
        <w:jc w:val="both"/>
        <w:rPr>
          <w:lang w:val="mk-MK"/>
        </w:rPr>
      </w:pPr>
      <w:r w:rsidRPr="005D62D4">
        <w:rPr>
          <w:lang w:val="mk-MK"/>
        </w:rPr>
        <w:t xml:space="preserve">Еден </w:t>
      </w:r>
      <w:r w:rsidRPr="00F74C85">
        <w:rPr>
          <w:b/>
          <w:lang w:val="mk-MK"/>
        </w:rPr>
        <w:t>краток распоред/агенда</w:t>
      </w:r>
      <w:r w:rsidRPr="005D62D4">
        <w:rPr>
          <w:lang w:val="mk-MK"/>
        </w:rPr>
        <w:t xml:space="preserve"> може да биде </w:t>
      </w:r>
      <w:r w:rsidRPr="00F74C85">
        <w:rPr>
          <w:b/>
          <w:lang w:val="mk-MK"/>
        </w:rPr>
        <w:t>многу корисна</w:t>
      </w:r>
      <w:r w:rsidRPr="005D62D4">
        <w:rPr>
          <w:lang w:val="mk-MK"/>
        </w:rPr>
        <w:t xml:space="preserve"> алатка која ќе ви помогне да се изврши инспекцискиот надзор. Обезбедување на оператор однапред, може да резултира со подобра координација на инспекцијата, едноставно затоа што операторите ќе бидат свесни за тоа колку средства и луѓе тие ќе треба да  распределат на инспекција. Подготовка на таков </w:t>
      </w:r>
      <w:r w:rsidRPr="005D62D4">
        <w:rPr>
          <w:lang w:val="mk-MK"/>
        </w:rPr>
        <w:lastRenderedPageBreak/>
        <w:t xml:space="preserve">документ пред инспекција не одземаат многу време, можете да го користите образецот за </w:t>
      </w:r>
      <w:r w:rsidRPr="00F74C85">
        <w:rPr>
          <w:b/>
          <w:lang w:val="mk-MK"/>
        </w:rPr>
        <w:t>распоредот/ агендата на инспекција во Анекс 2</w:t>
      </w:r>
      <w:r w:rsidRPr="005D62D4">
        <w:rPr>
          <w:lang w:val="mk-MK"/>
        </w:rPr>
        <w:t>.</w:t>
      </w:r>
    </w:p>
    <w:p w14:paraId="753C18B8" w14:textId="77777777" w:rsidR="0068028B" w:rsidRPr="00B171D7" w:rsidRDefault="0068028B" w:rsidP="0068028B">
      <w:pPr>
        <w:pStyle w:val="Heading3"/>
        <w:numPr>
          <w:ilvl w:val="2"/>
          <w:numId w:val="2"/>
        </w:numPr>
        <w:spacing w:line="240" w:lineRule="auto"/>
        <w:rPr>
          <w:lang w:val="el-GR"/>
        </w:rPr>
      </w:pPr>
      <w:bookmarkStart w:id="130" w:name="_Toc440385277"/>
      <w:bookmarkStart w:id="131" w:name="_Toc444009858"/>
      <w:r w:rsidRPr="00B171D7">
        <w:rPr>
          <w:rFonts w:eastAsia="Calibri"/>
          <w:szCs w:val="28"/>
          <w:lang w:val="mk-MK"/>
        </w:rPr>
        <w:t>Претходно известување на операторот</w:t>
      </w:r>
      <w:bookmarkEnd w:id="130"/>
      <w:bookmarkEnd w:id="131"/>
    </w:p>
    <w:p w14:paraId="1D8D3FCF" w14:textId="77777777" w:rsidR="0068028B" w:rsidRPr="000800A7" w:rsidRDefault="0068028B" w:rsidP="0068028B">
      <w:pPr>
        <w:pStyle w:val="ListDash1"/>
        <w:numPr>
          <w:ilvl w:val="0"/>
          <w:numId w:val="0"/>
        </w:numPr>
        <w:tabs>
          <w:tab w:val="left" w:pos="426"/>
          <w:tab w:val="left" w:pos="567"/>
        </w:tabs>
        <w:spacing w:after="0"/>
        <w:ind w:left="420" w:hanging="136"/>
        <w:rPr>
          <w:rFonts w:ascii="Calibri" w:eastAsia="Calibri" w:hAnsi="Calibri"/>
          <w:sz w:val="22"/>
          <w:szCs w:val="22"/>
          <w:lang w:val="el-GR" w:eastAsia="en-US"/>
        </w:rPr>
      </w:pPr>
      <w:r w:rsidRPr="005D62D4">
        <w:rPr>
          <w:rFonts w:ascii="Calibri" w:eastAsia="Calibri" w:hAnsi="Calibri"/>
          <w:sz w:val="22"/>
          <w:szCs w:val="22"/>
          <w:lang w:val="mk-MK" w:eastAsia="en-US"/>
        </w:rPr>
        <w:t>- Редовни инспекции. Операторот треба да биде претходно известен за редовните инспекции како што е предвидено во Законот за инспекциски надзор.</w:t>
      </w:r>
    </w:p>
    <w:p w14:paraId="4ED5BC0B" w14:textId="77777777" w:rsidR="0068028B" w:rsidRPr="000800A7" w:rsidRDefault="0068028B" w:rsidP="0068028B">
      <w:pPr>
        <w:pStyle w:val="ListParagraph"/>
        <w:tabs>
          <w:tab w:val="left" w:pos="426"/>
          <w:tab w:val="left" w:pos="567"/>
        </w:tabs>
        <w:spacing w:after="0"/>
        <w:ind w:left="567" w:hanging="283"/>
        <w:jc w:val="both"/>
        <w:rPr>
          <w:lang w:val="mk-MK"/>
        </w:rPr>
      </w:pPr>
      <w:r w:rsidRPr="000800A7">
        <w:rPr>
          <w:lang w:val="el-GR"/>
        </w:rPr>
        <w:t xml:space="preserve">- </w:t>
      </w:r>
      <w:r w:rsidRPr="005D62D4">
        <w:rPr>
          <w:lang w:val="mk-MK"/>
        </w:rPr>
        <w:t>Вонредни инспекции. Не постои обврска да ги известувате операторите вонредните инспекции. Затоа, во случај, на извршените инспекции  да се потврди дека операторот е во согласност со прописите за животна средина, како последица на претставки од граѓани или од други причини, не е препорачливо да се извести операторите претходно</w:t>
      </w:r>
      <w:r w:rsidRPr="000800A7">
        <w:rPr>
          <w:lang w:val="mk-MK"/>
        </w:rPr>
        <w:t>.</w:t>
      </w:r>
    </w:p>
    <w:p w14:paraId="789BD5A6" w14:textId="77777777" w:rsidR="0068028B" w:rsidRPr="005D62D4" w:rsidRDefault="0068028B" w:rsidP="0068028B">
      <w:pPr>
        <w:pStyle w:val="Heading2"/>
        <w:numPr>
          <w:ilvl w:val="1"/>
          <w:numId w:val="2"/>
        </w:numPr>
        <w:rPr>
          <w:lang w:val="ro-RO"/>
        </w:rPr>
      </w:pPr>
      <w:bookmarkStart w:id="132" w:name="_Toc438839310"/>
      <w:bookmarkStart w:id="133" w:name="_Toc440385278"/>
      <w:bookmarkStart w:id="134" w:name="_Toc444009859"/>
      <w:r w:rsidRPr="005D62D4">
        <w:rPr>
          <w:lang w:val="mk-MK"/>
        </w:rPr>
        <w:t>Инспекција на лице место</w:t>
      </w:r>
      <w:bookmarkEnd w:id="132"/>
      <w:bookmarkEnd w:id="133"/>
      <w:bookmarkEnd w:id="134"/>
    </w:p>
    <w:p w14:paraId="0D60317A" w14:textId="77777777" w:rsidR="0068028B" w:rsidRPr="00B171D7" w:rsidRDefault="0068028B" w:rsidP="0068028B">
      <w:pPr>
        <w:pStyle w:val="Heading3"/>
        <w:numPr>
          <w:ilvl w:val="2"/>
          <w:numId w:val="2"/>
        </w:numPr>
        <w:rPr>
          <w:lang w:val="ro-RO"/>
        </w:rPr>
      </w:pPr>
      <w:bookmarkStart w:id="135" w:name="_Toc440385279"/>
      <w:bookmarkStart w:id="136" w:name="_Toc444009860"/>
      <w:bookmarkStart w:id="137" w:name="_Toc433613376"/>
      <w:bookmarkStart w:id="138" w:name="_Toc438058578"/>
      <w:r w:rsidRPr="00B171D7">
        <w:rPr>
          <w:lang w:val="mk-MK"/>
        </w:rPr>
        <w:t>Општи одредби што треба да се земат предвид</w:t>
      </w:r>
      <w:bookmarkEnd w:id="135"/>
      <w:bookmarkEnd w:id="136"/>
      <w:r w:rsidRPr="00B171D7">
        <w:rPr>
          <w:lang w:val="mk-MK"/>
        </w:rPr>
        <w:t xml:space="preserve"> </w:t>
      </w:r>
      <w:bookmarkEnd w:id="137"/>
      <w:bookmarkEnd w:id="138"/>
    </w:p>
    <w:p w14:paraId="3E56C5A6" w14:textId="77777777" w:rsidR="0068028B" w:rsidRPr="005D62D4" w:rsidRDefault="0068028B" w:rsidP="0068028B">
      <w:pPr>
        <w:rPr>
          <w:lang w:val="mk-MK"/>
        </w:rPr>
      </w:pPr>
      <w:r w:rsidRPr="005D62D4">
        <w:rPr>
          <w:lang w:val="mk-MK"/>
        </w:rPr>
        <w:t xml:space="preserve">Целта на инспекцијата ќе биде да се </w:t>
      </w:r>
      <w:r w:rsidRPr="00F74C85">
        <w:rPr>
          <w:b/>
          <w:lang w:val="mk-MK"/>
        </w:rPr>
        <w:t>провери усогласеноста</w:t>
      </w:r>
      <w:r w:rsidRPr="005D62D4">
        <w:rPr>
          <w:lang w:val="mk-MK"/>
        </w:rPr>
        <w:t xml:space="preserve"> на операторот </w:t>
      </w:r>
      <w:r w:rsidRPr="00F74C85">
        <w:rPr>
          <w:b/>
          <w:lang w:val="mk-MK"/>
        </w:rPr>
        <w:t>со</w:t>
      </w:r>
      <w:r w:rsidRPr="005D62D4">
        <w:rPr>
          <w:lang w:val="mk-MK"/>
        </w:rPr>
        <w:t xml:space="preserve"> оперативните / еколошки услови утврдени во издадената </w:t>
      </w:r>
      <w:r w:rsidRPr="00F74C85">
        <w:rPr>
          <w:b/>
          <w:lang w:val="mk-MK"/>
        </w:rPr>
        <w:t>дозвола</w:t>
      </w:r>
      <w:r w:rsidRPr="005D62D4">
        <w:rPr>
          <w:lang w:val="mk-MK"/>
        </w:rPr>
        <w:t>.</w:t>
      </w:r>
    </w:p>
    <w:p w14:paraId="21E95137" w14:textId="77777777" w:rsidR="0068028B" w:rsidRPr="005D62D4" w:rsidRDefault="0068028B" w:rsidP="005748BE">
      <w:pPr>
        <w:numPr>
          <w:ilvl w:val="1"/>
          <w:numId w:val="10"/>
        </w:numPr>
        <w:ind w:left="1068"/>
        <w:rPr>
          <w:lang w:val="mk-MK"/>
        </w:rPr>
      </w:pPr>
      <w:r w:rsidRPr="005D62D4">
        <w:rPr>
          <w:lang w:val="mk-MK"/>
        </w:rPr>
        <w:t>Претставете се: покажете ја Вашата легитимација на почетокот на секоја инспекција.</w:t>
      </w:r>
    </w:p>
    <w:p w14:paraId="0EDD71A4" w14:textId="77777777" w:rsidR="0068028B" w:rsidRPr="005D62D4" w:rsidRDefault="0068028B" w:rsidP="005748BE">
      <w:pPr>
        <w:numPr>
          <w:ilvl w:val="1"/>
          <w:numId w:val="10"/>
        </w:numPr>
        <w:ind w:left="1068"/>
        <w:rPr>
          <w:lang w:val="mk-MK"/>
        </w:rPr>
      </w:pPr>
      <w:r w:rsidRPr="005D62D4">
        <w:rPr>
          <w:lang w:val="mk-MK"/>
        </w:rPr>
        <w:t>Објаснете ја целта на вашата посета</w:t>
      </w:r>
    </w:p>
    <w:p w14:paraId="605D5F11" w14:textId="77777777" w:rsidR="0068028B" w:rsidRPr="005D62D4" w:rsidRDefault="0068028B" w:rsidP="005748BE">
      <w:pPr>
        <w:numPr>
          <w:ilvl w:val="1"/>
          <w:numId w:val="10"/>
        </w:numPr>
        <w:ind w:left="1068"/>
        <w:rPr>
          <w:lang w:val="mk-MK"/>
        </w:rPr>
      </w:pPr>
      <w:r w:rsidRPr="005D62D4">
        <w:rPr>
          <w:lang w:val="mk-MK"/>
        </w:rPr>
        <w:t xml:space="preserve">Функционирањето / еколошките услови утврдени во </w:t>
      </w:r>
      <w:r w:rsidRPr="005D62D4">
        <w:rPr>
          <w:b/>
          <w:lang w:val="mk-MK"/>
        </w:rPr>
        <w:t>издадената дозвола ќе бидат "насоки"</w:t>
      </w:r>
      <w:r w:rsidRPr="005D62D4">
        <w:rPr>
          <w:lang w:val="mk-MK"/>
        </w:rPr>
        <w:t xml:space="preserve"> во текот на инспекцискиот надзор.</w:t>
      </w:r>
    </w:p>
    <w:p w14:paraId="7914FBBE" w14:textId="77777777" w:rsidR="0068028B" w:rsidRDefault="0068028B" w:rsidP="005748BE">
      <w:pPr>
        <w:numPr>
          <w:ilvl w:val="1"/>
          <w:numId w:val="10"/>
        </w:numPr>
        <w:ind w:left="1068"/>
        <w:rPr>
          <w:lang w:val="mk-MK"/>
        </w:rPr>
      </w:pPr>
      <w:r w:rsidRPr="005D62D4">
        <w:rPr>
          <w:lang w:val="mk-MK"/>
        </w:rPr>
        <w:t xml:space="preserve">Земете примероци или барање за земање </w:t>
      </w:r>
      <w:r w:rsidRPr="005D62D4">
        <w:rPr>
          <w:b/>
          <w:lang w:val="mk-MK"/>
        </w:rPr>
        <w:t xml:space="preserve">мостри </w:t>
      </w:r>
      <w:r w:rsidRPr="005D62D4">
        <w:rPr>
          <w:lang w:val="mk-MK"/>
        </w:rPr>
        <w:t>и лабораториски анализи, ако е потребно</w:t>
      </w:r>
    </w:p>
    <w:p w14:paraId="350AAFCB" w14:textId="77777777" w:rsidR="0068028B" w:rsidRPr="00F74C85" w:rsidRDefault="0068028B" w:rsidP="005748BE">
      <w:pPr>
        <w:numPr>
          <w:ilvl w:val="1"/>
          <w:numId w:val="10"/>
        </w:numPr>
        <w:ind w:left="1068"/>
        <w:rPr>
          <w:lang w:val="mk-MK"/>
        </w:rPr>
      </w:pPr>
      <w:r w:rsidRPr="00F74C85">
        <w:rPr>
          <w:b/>
          <w:lang w:val="mk-MK"/>
        </w:rPr>
        <w:t>Секогаш снимајте ја инспекцијата: со фотографии и / или видеа</w:t>
      </w:r>
      <w:r w:rsidRPr="00F74C85">
        <w:rPr>
          <w:lang w:val="mk-MK"/>
        </w:rPr>
        <w:t>, тие се од фундаментално значење како доказ на суд.</w:t>
      </w:r>
    </w:p>
    <w:p w14:paraId="7606DDAD" w14:textId="77777777" w:rsidR="0068028B" w:rsidRPr="00B171D7" w:rsidRDefault="0068028B" w:rsidP="0068028B">
      <w:pPr>
        <w:pStyle w:val="Heading4"/>
        <w:numPr>
          <w:ilvl w:val="3"/>
          <w:numId w:val="2"/>
        </w:numPr>
      </w:pPr>
      <w:bookmarkStart w:id="139" w:name="_Toc440385280"/>
      <w:bookmarkStart w:id="140" w:name="_Toc444009861"/>
      <w:bookmarkStart w:id="141" w:name="_Toc438058579"/>
      <w:r w:rsidRPr="00B171D7">
        <w:rPr>
          <w:lang w:val="mk-MK"/>
        </w:rPr>
        <w:t>Најдобри достапни техники (НДТ)</w:t>
      </w:r>
      <w:bookmarkEnd w:id="139"/>
      <w:bookmarkEnd w:id="140"/>
      <w:r w:rsidRPr="00B171D7">
        <w:rPr>
          <w:lang w:val="mk-MK"/>
        </w:rPr>
        <w:t xml:space="preserve"> </w:t>
      </w:r>
      <w:bookmarkEnd w:id="141"/>
    </w:p>
    <w:p w14:paraId="00733B60" w14:textId="77777777" w:rsidR="0068028B" w:rsidRPr="003D440E" w:rsidRDefault="0068028B" w:rsidP="0068028B">
      <w:pPr>
        <w:rPr>
          <w:lang w:val="mk-MK"/>
        </w:rPr>
      </w:pPr>
      <w:r w:rsidRPr="00B04839">
        <w:rPr>
          <w:lang w:val="mk-MK"/>
        </w:rPr>
        <w:t>Мора да се провери дека сите НДТ кои се пропишани со дозволата се присутни и дека се исполнети соодветните гранични вредности за емисии. За инсталации кои подпаѓаат под Директивата за емисии во индустријата, доколку  неопходните НДТ-поврзани нивоа на емисија не се пропишани со дозволата, мора да се провери дали има објаснување пропишано со член 15.4 од Директивата</w:t>
      </w:r>
      <w:r w:rsidRPr="00B04839">
        <w:rPr>
          <w:rStyle w:val="FootnoteReference"/>
        </w:rPr>
        <w:footnoteReference w:id="1"/>
      </w:r>
      <w:r w:rsidRPr="000800A7">
        <w:rPr>
          <w:lang w:val="mk-MK"/>
        </w:rPr>
        <w:t>.</w:t>
      </w:r>
      <w:r w:rsidRPr="00B04839">
        <w:rPr>
          <w:lang w:val="mk-MK"/>
        </w:rPr>
        <w:t xml:space="preserve">  Доколку нема (добро) објаснување, треба да се даде повратна </w:t>
      </w:r>
      <w:r w:rsidRPr="00B04839">
        <w:rPr>
          <w:lang w:val="mk-MK"/>
        </w:rPr>
        <w:lastRenderedPageBreak/>
        <w:t>информација до пишувачите на дозволата и до операторот. Ако НДТ пропишани со дозволата се присутна, работат нормално, но ГВЕ  не се исполнети, можни алтернативи може да се дискутираат со пишувачот на дозволата и со операторот</w:t>
      </w:r>
      <w:r>
        <w:rPr>
          <w:lang w:val="mk-MK"/>
        </w:rPr>
        <w:t>.</w:t>
      </w:r>
      <w:r w:rsidRPr="000800A7">
        <w:rPr>
          <w:lang w:val="mk-MK"/>
        </w:rPr>
        <w:t xml:space="preserve">   </w:t>
      </w:r>
    </w:p>
    <w:p w14:paraId="5FB9795C" w14:textId="77777777" w:rsidR="0068028B" w:rsidRPr="00B171D7" w:rsidRDefault="0068028B" w:rsidP="0068028B">
      <w:pPr>
        <w:pStyle w:val="Heading3"/>
        <w:numPr>
          <w:ilvl w:val="2"/>
          <w:numId w:val="2"/>
        </w:numPr>
        <w:rPr>
          <w:lang w:val="ro-RO"/>
        </w:rPr>
      </w:pPr>
      <w:bookmarkStart w:id="142" w:name="_Toc440385281"/>
      <w:bookmarkStart w:id="143" w:name="_Toc444009862"/>
      <w:r w:rsidRPr="00B171D7">
        <w:rPr>
          <w:lang w:val="mk-MK"/>
        </w:rPr>
        <w:t>Главни прашања за инспекција</w:t>
      </w:r>
      <w:bookmarkEnd w:id="142"/>
      <w:bookmarkEnd w:id="143"/>
      <w:r w:rsidRPr="00B171D7">
        <w:rPr>
          <w:lang w:val="mk-MK"/>
        </w:rPr>
        <w:t xml:space="preserve"> </w:t>
      </w:r>
    </w:p>
    <w:p w14:paraId="6971B40F" w14:textId="26D59075" w:rsidR="0068028B" w:rsidRDefault="0068028B" w:rsidP="0068028B">
      <w:pPr>
        <w:rPr>
          <w:lang w:val="mk-MK"/>
        </w:rPr>
      </w:pPr>
      <w:r w:rsidRPr="005D62D4">
        <w:rPr>
          <w:lang w:val="ro-RO"/>
        </w:rPr>
        <w:t xml:space="preserve">Главните точки на интерес за инспекција за </w:t>
      </w:r>
      <w:r w:rsidR="009F2DDA">
        <w:rPr>
          <w:lang w:val="mk-MK"/>
        </w:rPr>
        <w:t>секторот на Големи постројки за согорување (лигнит</w:t>
      </w:r>
      <w:r w:rsidR="00D71852">
        <w:rPr>
          <w:lang w:val="mk-MK"/>
        </w:rPr>
        <w:t>, термоелектрани на природен гас, котли</w:t>
      </w:r>
      <w:r w:rsidRPr="005D62D4">
        <w:rPr>
          <w:lang w:val="mk-MK"/>
        </w:rPr>
        <w:t>,</w:t>
      </w:r>
      <w:r w:rsidR="00D71852" w:rsidRPr="00D71852">
        <w:rPr>
          <w:lang w:val="ro-RO"/>
        </w:rPr>
        <w:t xml:space="preserve"> </w:t>
      </w:r>
      <w:r w:rsidR="00D71852">
        <w:rPr>
          <w:lang w:val="mk-MK"/>
        </w:rPr>
        <w:t>комбинирана топлинска и електрична технологија)</w:t>
      </w:r>
      <w:r w:rsidRPr="005D62D4">
        <w:rPr>
          <w:lang w:val="ro-RO"/>
        </w:rPr>
        <w:t xml:space="preserve"> се следниве</w:t>
      </w:r>
    </w:p>
    <w:p w14:paraId="0326600E" w14:textId="77777777" w:rsidR="00C47034" w:rsidRDefault="00C47034" w:rsidP="00C47034">
      <w:pPr>
        <w:rPr>
          <w:b/>
          <w:lang w:val="mk-MK"/>
        </w:rPr>
      </w:pPr>
      <w:r>
        <w:rPr>
          <w:b/>
          <w:lang w:val="mk-MK"/>
        </w:rPr>
        <w:t>2.2.2.1. Емисиите во воздухот</w:t>
      </w:r>
    </w:p>
    <w:p w14:paraId="09474E3B" w14:textId="723FB40D" w:rsidR="00C47034" w:rsidRPr="00C47034" w:rsidRDefault="00C47034" w:rsidP="00C47034">
      <w:pPr>
        <w:rPr>
          <w:b/>
          <w:lang w:val="mk-MK"/>
        </w:rPr>
      </w:pPr>
      <w:r w:rsidRPr="00C47034">
        <w:rPr>
          <w:b/>
          <w:lang w:val="mk-MK"/>
        </w:rPr>
        <w:t>Загадувачки супстанции во воздух</w:t>
      </w:r>
      <w:r>
        <w:rPr>
          <w:b/>
          <w:lang w:val="mk-MK"/>
        </w:rPr>
        <w:t>от</w:t>
      </w:r>
      <w:r w:rsidRPr="00C47034">
        <w:rPr>
          <w:b/>
          <w:lang w:val="mk-MK"/>
        </w:rPr>
        <w:t xml:space="preserve"> од јаглен или лигнит термоелектраните или инсталации</w:t>
      </w:r>
      <w:r>
        <w:rPr>
          <w:b/>
          <w:lang w:val="mk-MK"/>
        </w:rPr>
        <w:t>те</w:t>
      </w:r>
    </w:p>
    <w:p w14:paraId="0F90E5C8" w14:textId="6D6F1A68" w:rsidR="00C47034" w:rsidRPr="00C47034" w:rsidRDefault="00ED0444" w:rsidP="005748BE">
      <w:pPr>
        <w:pStyle w:val="ListParagraph"/>
        <w:numPr>
          <w:ilvl w:val="0"/>
          <w:numId w:val="17"/>
        </w:numPr>
        <w:rPr>
          <w:lang w:val="mk-MK"/>
        </w:rPr>
      </w:pPr>
      <w:r>
        <w:rPr>
          <w:lang w:val="mk-MK"/>
        </w:rPr>
        <w:t>П</w:t>
      </w:r>
      <w:r w:rsidR="00C47034" w:rsidRPr="00C47034">
        <w:rPr>
          <w:lang w:val="mk-MK"/>
        </w:rPr>
        <w:t>р</w:t>
      </w:r>
      <w:r>
        <w:rPr>
          <w:lang w:val="mk-MK"/>
        </w:rPr>
        <w:t>оверете дали НДТ 4, 7, 17 и 18,  НХДТ за</w:t>
      </w:r>
      <w:r w:rsidR="00C47034" w:rsidRPr="00C47034">
        <w:rPr>
          <w:lang w:val="mk-MK"/>
        </w:rPr>
        <w:t xml:space="preserve"> да се постигне целосно согорување, да се зголеми енергетската е</w:t>
      </w:r>
      <w:r>
        <w:rPr>
          <w:lang w:val="mk-MK"/>
        </w:rPr>
        <w:t>фикасност, да се подобрат општите</w:t>
      </w:r>
      <w:r w:rsidR="00C47034" w:rsidRPr="00C47034">
        <w:rPr>
          <w:lang w:val="mk-MK"/>
        </w:rPr>
        <w:t xml:space="preserve"> еколошки перформанси, ка</w:t>
      </w:r>
      <w:r>
        <w:rPr>
          <w:lang w:val="mk-MK"/>
        </w:rPr>
        <w:t>ко и сушење на лигнит от</w:t>
      </w:r>
      <w:r w:rsidR="00C47034" w:rsidRPr="00C47034">
        <w:rPr>
          <w:lang w:val="mk-MK"/>
        </w:rPr>
        <w:t xml:space="preserve">, </w:t>
      </w:r>
      <w:r>
        <w:rPr>
          <w:lang w:val="mk-MK"/>
        </w:rPr>
        <w:t>дали биле ставени</w:t>
      </w:r>
      <w:r w:rsidR="00C47034" w:rsidRPr="00C47034">
        <w:rPr>
          <w:lang w:val="mk-MK"/>
        </w:rPr>
        <w:t xml:space="preserve"> во дозволата.</w:t>
      </w:r>
      <w:r w:rsidR="00914927">
        <w:rPr>
          <w:lang w:val="mk-MK"/>
        </w:rPr>
        <w:t xml:space="preserve"> Проверете ако тие не се во дозволата, дали постои објаснување во</w:t>
      </w:r>
      <w:r w:rsidR="00C47034" w:rsidRPr="00C47034">
        <w:rPr>
          <w:lang w:val="mk-MK"/>
        </w:rPr>
        <w:t xml:space="preserve"> дозволата согласно со</w:t>
      </w:r>
      <w:r w:rsidR="00914927">
        <w:rPr>
          <w:lang w:val="mk-MK"/>
        </w:rPr>
        <w:t xml:space="preserve"> повлечениот член во IED (15,4). Проверете дали овие НДТ </w:t>
      </w:r>
      <w:r w:rsidR="00C47034" w:rsidRPr="00C47034">
        <w:rPr>
          <w:lang w:val="mk-MK"/>
        </w:rPr>
        <w:t>се инсталирани</w:t>
      </w:r>
      <w:r w:rsidR="00914927">
        <w:rPr>
          <w:lang w:val="mk-MK"/>
        </w:rPr>
        <w:t>, евентуално, и работат</w:t>
      </w:r>
      <w:r w:rsidR="00C47034" w:rsidRPr="00C47034">
        <w:rPr>
          <w:lang w:val="mk-MK"/>
        </w:rPr>
        <w:t xml:space="preserve"> правилно.</w:t>
      </w:r>
    </w:p>
    <w:p w14:paraId="44CBF3E9" w14:textId="134FACE8" w:rsidR="00C47034" w:rsidRPr="00C47034" w:rsidRDefault="00914927" w:rsidP="005748BE">
      <w:pPr>
        <w:pStyle w:val="ListParagraph"/>
        <w:numPr>
          <w:ilvl w:val="0"/>
          <w:numId w:val="17"/>
        </w:numPr>
        <w:rPr>
          <w:lang w:val="mk-MK"/>
        </w:rPr>
      </w:pPr>
      <w:r>
        <w:rPr>
          <w:lang w:val="mk-MK"/>
        </w:rPr>
        <w:t>Проверете дали НД</w:t>
      </w:r>
      <w:r w:rsidR="00C47034" w:rsidRPr="00C47034">
        <w:rPr>
          <w:lang w:val="mk-MK"/>
        </w:rPr>
        <w:t>Т 19, 21, 22 и 23 се инсталирани и правилно управ</w:t>
      </w:r>
      <w:r>
        <w:rPr>
          <w:lang w:val="mk-MK"/>
        </w:rPr>
        <w:t>увани и ГВЕ се исполнети. Овие НДТ</w:t>
      </w:r>
      <w:r w:rsidR="00C47034" w:rsidRPr="00C47034">
        <w:rPr>
          <w:lang w:val="mk-MK"/>
        </w:rPr>
        <w:t xml:space="preserve"> се однесуваат на намалување на емисиите во воздухот на NOx, SO2, HC</w:t>
      </w:r>
      <w:r>
        <w:rPr>
          <w:lang w:val="mk-MK"/>
        </w:rPr>
        <w:t xml:space="preserve">l, HF, прашина, особено честици од </w:t>
      </w:r>
      <w:r w:rsidR="00C47034" w:rsidRPr="00C47034">
        <w:rPr>
          <w:lang w:val="mk-MK"/>
        </w:rPr>
        <w:t>тешки метали и жива.</w:t>
      </w:r>
    </w:p>
    <w:p w14:paraId="5F590BB5" w14:textId="77777777" w:rsidR="00C47034" w:rsidRPr="00C47034" w:rsidRDefault="00C47034" w:rsidP="00C47034">
      <w:pPr>
        <w:rPr>
          <w:b/>
          <w:lang w:val="mk-MK"/>
        </w:rPr>
      </w:pPr>
      <w:r w:rsidRPr="00C47034">
        <w:rPr>
          <w:b/>
          <w:lang w:val="mk-MK"/>
        </w:rPr>
        <w:t>Загадувачки супстанции во воздух од согорувањето на цврсти биомаса и тресет</w:t>
      </w:r>
    </w:p>
    <w:p w14:paraId="76230554" w14:textId="58E1B4FB" w:rsidR="00C47034" w:rsidRPr="00C47034" w:rsidRDefault="00C47034" w:rsidP="005748BE">
      <w:pPr>
        <w:pStyle w:val="ListParagraph"/>
        <w:numPr>
          <w:ilvl w:val="0"/>
          <w:numId w:val="18"/>
        </w:numPr>
        <w:rPr>
          <w:lang w:val="mk-MK"/>
        </w:rPr>
      </w:pPr>
      <w:r w:rsidRPr="00C47034">
        <w:rPr>
          <w:lang w:val="mk-MK"/>
        </w:rPr>
        <w:t xml:space="preserve">Проверете дали </w:t>
      </w:r>
      <w:r w:rsidR="00914927">
        <w:rPr>
          <w:lang w:val="mk-MK"/>
        </w:rPr>
        <w:t>НДТ</w:t>
      </w:r>
      <w:r w:rsidRPr="00C47034">
        <w:rPr>
          <w:lang w:val="mk-MK"/>
        </w:rPr>
        <w:t xml:space="preserve"> 4,7, 24</w:t>
      </w:r>
      <w:r w:rsidR="00914927">
        <w:rPr>
          <w:lang w:val="mk-MK"/>
        </w:rPr>
        <w:t xml:space="preserve"> и 25 се применуваат, биле ставени </w:t>
      </w:r>
      <w:r w:rsidRPr="00C47034">
        <w:rPr>
          <w:lang w:val="mk-MK"/>
        </w:rPr>
        <w:t xml:space="preserve">и во дозволата и на крајот се инсталирани. Овие </w:t>
      </w:r>
      <w:r w:rsidR="00914927">
        <w:rPr>
          <w:lang w:val="mk-MK"/>
        </w:rPr>
        <w:t>НДТ</w:t>
      </w:r>
      <w:r w:rsidRPr="00C47034">
        <w:rPr>
          <w:lang w:val="mk-MK"/>
        </w:rPr>
        <w:t xml:space="preserve"> </w:t>
      </w:r>
      <w:r w:rsidR="00914927">
        <w:rPr>
          <w:lang w:val="mk-MK"/>
        </w:rPr>
        <w:t>се о</w:t>
      </w:r>
      <w:r w:rsidRPr="00C47034">
        <w:rPr>
          <w:lang w:val="mk-MK"/>
        </w:rPr>
        <w:t>днесуваат на целосно согорување, зголемување на енергетската ефикасност, општата еколошки перформанси и намалување на содржината на влага во горивото.</w:t>
      </w:r>
    </w:p>
    <w:p w14:paraId="38905AE8" w14:textId="170C8652" w:rsidR="00C47034" w:rsidRPr="00C47034" w:rsidRDefault="00C47034" w:rsidP="005748BE">
      <w:pPr>
        <w:pStyle w:val="ListParagraph"/>
        <w:numPr>
          <w:ilvl w:val="0"/>
          <w:numId w:val="18"/>
        </w:numPr>
        <w:rPr>
          <w:lang w:val="mk-MK"/>
        </w:rPr>
      </w:pPr>
      <w:r w:rsidRPr="00C47034">
        <w:rPr>
          <w:lang w:val="mk-MK"/>
        </w:rPr>
        <w:t xml:space="preserve">Проверете дали </w:t>
      </w:r>
      <w:r w:rsidR="00914927">
        <w:rPr>
          <w:lang w:val="mk-MK"/>
        </w:rPr>
        <w:t>НДТ</w:t>
      </w:r>
      <w:r w:rsidRPr="00C47034">
        <w:rPr>
          <w:lang w:val="mk-MK"/>
        </w:rPr>
        <w:t xml:space="preserve"> 26,28, 29 и 30 се инсталирани и правилно управувани и дали соодветните стари возила се исполнети. Овие </w:t>
      </w:r>
      <w:r w:rsidR="00914927">
        <w:rPr>
          <w:lang w:val="mk-MK"/>
        </w:rPr>
        <w:t>НДТ</w:t>
      </w:r>
      <w:r w:rsidRPr="00C47034">
        <w:rPr>
          <w:lang w:val="mk-MK"/>
        </w:rPr>
        <w:t xml:space="preserve"> се однесуваат на намалување на емисиите во воздухот на NOx, NH3, CO, SO2, HCl</w:t>
      </w:r>
      <w:r w:rsidR="00914927">
        <w:rPr>
          <w:lang w:val="mk-MK"/>
        </w:rPr>
        <w:t xml:space="preserve">, HF, прашина и честички од </w:t>
      </w:r>
      <w:r w:rsidRPr="00C47034">
        <w:rPr>
          <w:lang w:val="mk-MK"/>
        </w:rPr>
        <w:t>тешки метали</w:t>
      </w:r>
    </w:p>
    <w:p w14:paraId="14FC45A2" w14:textId="77777777" w:rsidR="00C47034" w:rsidRPr="00ED0444" w:rsidRDefault="00C47034" w:rsidP="00ED0444">
      <w:pPr>
        <w:rPr>
          <w:b/>
          <w:lang w:val="mk-MK"/>
        </w:rPr>
      </w:pPr>
      <w:r w:rsidRPr="00ED0444">
        <w:rPr>
          <w:b/>
          <w:lang w:val="mk-MK"/>
        </w:rPr>
        <w:t>Загадувачки супстанции во воздух од согорување на течни горива</w:t>
      </w:r>
    </w:p>
    <w:p w14:paraId="2D08190A" w14:textId="6860286B" w:rsidR="00C47034" w:rsidRPr="00ED0444" w:rsidRDefault="00C47034" w:rsidP="005748BE">
      <w:pPr>
        <w:pStyle w:val="ListParagraph"/>
        <w:numPr>
          <w:ilvl w:val="0"/>
          <w:numId w:val="19"/>
        </w:numPr>
        <w:rPr>
          <w:lang w:val="mk-MK"/>
        </w:rPr>
      </w:pPr>
      <w:r w:rsidRPr="00ED0444">
        <w:rPr>
          <w:lang w:val="mk-MK"/>
        </w:rPr>
        <w:t xml:space="preserve">Проверете дали </w:t>
      </w:r>
      <w:r w:rsidR="00914927">
        <w:rPr>
          <w:lang w:val="mk-MK"/>
        </w:rPr>
        <w:t xml:space="preserve">НДТ 7 и 31 се применливи, се во дозволата и </w:t>
      </w:r>
      <w:r w:rsidRPr="00ED0444">
        <w:rPr>
          <w:lang w:val="mk-MK"/>
        </w:rPr>
        <w:t>се инсталира</w:t>
      </w:r>
      <w:r w:rsidR="00914927">
        <w:rPr>
          <w:lang w:val="mk-MK"/>
        </w:rPr>
        <w:t>ни</w:t>
      </w:r>
      <w:r w:rsidRPr="00ED0444">
        <w:rPr>
          <w:lang w:val="mk-MK"/>
        </w:rPr>
        <w:t xml:space="preserve">. Овие </w:t>
      </w:r>
      <w:r w:rsidR="00914927">
        <w:rPr>
          <w:lang w:val="mk-MK"/>
        </w:rPr>
        <w:t>НДТ</w:t>
      </w:r>
      <w:r w:rsidRPr="00ED0444">
        <w:rPr>
          <w:lang w:val="mk-MK"/>
        </w:rPr>
        <w:t xml:space="preserve"> </w:t>
      </w:r>
      <w:r w:rsidR="00914927">
        <w:rPr>
          <w:lang w:val="mk-MK"/>
        </w:rPr>
        <w:t xml:space="preserve">се </w:t>
      </w:r>
      <w:r w:rsidRPr="00ED0444">
        <w:rPr>
          <w:lang w:val="mk-MK"/>
        </w:rPr>
        <w:t>однесуваат на целосно согорување и зголемувањето на енергетската ефикасност.</w:t>
      </w:r>
    </w:p>
    <w:p w14:paraId="2AB56F86" w14:textId="40742698" w:rsidR="00C47034" w:rsidRPr="00ED0444" w:rsidRDefault="00C47034" w:rsidP="005748BE">
      <w:pPr>
        <w:pStyle w:val="ListParagraph"/>
        <w:numPr>
          <w:ilvl w:val="0"/>
          <w:numId w:val="19"/>
        </w:numPr>
        <w:rPr>
          <w:lang w:val="mk-MK"/>
        </w:rPr>
      </w:pPr>
      <w:r w:rsidRPr="00ED0444">
        <w:rPr>
          <w:lang w:val="mk-MK"/>
        </w:rPr>
        <w:t xml:space="preserve">Проверете дали </w:t>
      </w:r>
      <w:r w:rsidR="00914927">
        <w:rPr>
          <w:lang w:val="mk-MK"/>
        </w:rPr>
        <w:t>НДТ</w:t>
      </w:r>
      <w:r w:rsidRPr="00ED0444">
        <w:rPr>
          <w:lang w:val="mk-MK"/>
        </w:rPr>
        <w:t xml:space="preserve"> 32, 33 и 34 се инсталирани и правилно управувани</w:t>
      </w:r>
      <w:r w:rsidR="00914927">
        <w:rPr>
          <w:lang w:val="mk-MK"/>
        </w:rPr>
        <w:t xml:space="preserve"> и дали соодветните ГВЕ</w:t>
      </w:r>
      <w:r w:rsidRPr="00ED0444">
        <w:rPr>
          <w:lang w:val="mk-MK"/>
        </w:rPr>
        <w:t xml:space="preserve"> се исполнети. Овие </w:t>
      </w:r>
      <w:r w:rsidR="00914927">
        <w:rPr>
          <w:lang w:val="mk-MK"/>
        </w:rPr>
        <w:t>НДТ</w:t>
      </w:r>
      <w:r w:rsidRPr="00ED0444">
        <w:rPr>
          <w:lang w:val="mk-MK"/>
        </w:rPr>
        <w:t xml:space="preserve"> се однесуваат на намалување на емисиите во воздухот на NOx, NH3, CO, SO2, HCl,</w:t>
      </w:r>
      <w:r w:rsidR="00914927">
        <w:rPr>
          <w:lang w:val="mk-MK"/>
        </w:rPr>
        <w:t xml:space="preserve"> HF, прашина и честички од</w:t>
      </w:r>
      <w:r w:rsidRPr="00ED0444">
        <w:rPr>
          <w:lang w:val="mk-MK"/>
        </w:rPr>
        <w:t xml:space="preserve"> тешки метали.</w:t>
      </w:r>
    </w:p>
    <w:p w14:paraId="0D8427D2" w14:textId="332E38D2" w:rsidR="00C47034" w:rsidRPr="00ED0444" w:rsidRDefault="00C47034" w:rsidP="005748BE">
      <w:pPr>
        <w:pStyle w:val="ListParagraph"/>
        <w:numPr>
          <w:ilvl w:val="0"/>
          <w:numId w:val="19"/>
        </w:numPr>
        <w:rPr>
          <w:lang w:val="mk-MK"/>
        </w:rPr>
      </w:pPr>
      <w:r w:rsidRPr="00ED0444">
        <w:rPr>
          <w:lang w:val="mk-MK"/>
        </w:rPr>
        <w:lastRenderedPageBreak/>
        <w:t xml:space="preserve">За Мотори истото важи, доколку е применливо за </w:t>
      </w:r>
      <w:r w:rsidR="00914927">
        <w:rPr>
          <w:lang w:val="mk-MK"/>
        </w:rPr>
        <w:t>НДТ</w:t>
      </w:r>
      <w:r w:rsidRPr="00ED0444">
        <w:rPr>
          <w:lang w:val="mk-MK"/>
        </w:rPr>
        <w:t xml:space="preserve"> 35-39 и за LFO гасни турбини ако е применливо за НДТ 40-43. </w:t>
      </w:r>
      <w:r w:rsidR="00914927">
        <w:rPr>
          <w:lang w:val="mk-MK"/>
        </w:rPr>
        <w:t>НДТ</w:t>
      </w:r>
      <w:r w:rsidR="005C18C7">
        <w:rPr>
          <w:lang w:val="mk-MK"/>
        </w:rPr>
        <w:t xml:space="preserve"> 35-39 се однесува на</w:t>
      </w:r>
      <w:r w:rsidRPr="00ED0444">
        <w:rPr>
          <w:lang w:val="mk-MK"/>
        </w:rPr>
        <w:t>зголемување на енергетската ефикасност и намалување на емисиите во воздухот на NOx, NH3, CO, TOC, SO2, HCl, HF</w:t>
      </w:r>
      <w:r w:rsidR="005C18C7">
        <w:rPr>
          <w:lang w:val="mk-MK"/>
        </w:rPr>
        <w:t>, прашина и честички од</w:t>
      </w:r>
      <w:r w:rsidRPr="00ED0444">
        <w:rPr>
          <w:lang w:val="mk-MK"/>
        </w:rPr>
        <w:t xml:space="preserve"> тешки метали и </w:t>
      </w:r>
      <w:r w:rsidR="00914927">
        <w:rPr>
          <w:lang w:val="mk-MK"/>
        </w:rPr>
        <w:t>НДТ</w:t>
      </w:r>
      <w:r w:rsidRPr="00ED0444">
        <w:rPr>
          <w:lang w:val="mk-MK"/>
        </w:rPr>
        <w:t xml:space="preserve"> 40-43 </w:t>
      </w:r>
      <w:r w:rsidR="005C18C7">
        <w:rPr>
          <w:lang w:val="mk-MK"/>
        </w:rPr>
        <w:t xml:space="preserve">се однесуваат на </w:t>
      </w:r>
      <w:r w:rsidRPr="00ED0444">
        <w:rPr>
          <w:lang w:val="mk-MK"/>
        </w:rPr>
        <w:t xml:space="preserve"> зголемување на енергетските ефикасност и намалување на емисиите во воздухот на NOx, NH3, CO СО2 и прав.</w:t>
      </w:r>
    </w:p>
    <w:p w14:paraId="21F86959" w14:textId="77777777" w:rsidR="00C47034" w:rsidRPr="00ED0444" w:rsidRDefault="00C47034" w:rsidP="00C47034">
      <w:pPr>
        <w:rPr>
          <w:b/>
          <w:lang w:val="mk-MK"/>
        </w:rPr>
      </w:pPr>
      <w:r w:rsidRPr="00ED0444">
        <w:rPr>
          <w:b/>
          <w:lang w:val="mk-MK"/>
        </w:rPr>
        <w:t>Загадувачки супстанции во воздухот од согорување на гасовити горива</w:t>
      </w:r>
    </w:p>
    <w:p w14:paraId="51EE4ECD" w14:textId="146618F3" w:rsidR="00C47034" w:rsidRPr="00ED0444" w:rsidRDefault="00C47034" w:rsidP="005748BE">
      <w:pPr>
        <w:pStyle w:val="ListParagraph"/>
        <w:numPr>
          <w:ilvl w:val="0"/>
          <w:numId w:val="20"/>
        </w:numPr>
        <w:rPr>
          <w:lang w:val="mk-MK"/>
        </w:rPr>
      </w:pPr>
      <w:r w:rsidRPr="00ED0444">
        <w:rPr>
          <w:lang w:val="mk-MK"/>
        </w:rPr>
        <w:t xml:space="preserve">Проверете дали </w:t>
      </w:r>
      <w:r w:rsidR="00914927">
        <w:rPr>
          <w:lang w:val="mk-MK"/>
        </w:rPr>
        <w:t>НДТ</w:t>
      </w:r>
      <w:r w:rsidRPr="00ED0444">
        <w:rPr>
          <w:lang w:val="mk-MK"/>
        </w:rPr>
        <w:t xml:space="preserve"> 7, 44 и </w:t>
      </w:r>
      <w:r w:rsidR="00914927">
        <w:rPr>
          <w:lang w:val="mk-MK"/>
        </w:rPr>
        <w:t>НДТ</w:t>
      </w:r>
      <w:r w:rsidRPr="00ED0444">
        <w:rPr>
          <w:lang w:val="mk-MK"/>
        </w:rPr>
        <w:t xml:space="preserve"> </w:t>
      </w:r>
      <w:r w:rsidR="00914927">
        <w:rPr>
          <w:lang w:val="mk-MK"/>
        </w:rPr>
        <w:t>НДТ</w:t>
      </w:r>
      <w:r w:rsidR="005C18C7">
        <w:rPr>
          <w:lang w:val="mk-MK"/>
        </w:rPr>
        <w:t xml:space="preserve"> 45 се применливи, се во дозволата и </w:t>
      </w:r>
      <w:r w:rsidRPr="00ED0444">
        <w:rPr>
          <w:lang w:val="mk-MK"/>
        </w:rPr>
        <w:t xml:space="preserve"> да</w:t>
      </w:r>
      <w:r w:rsidR="005C18C7">
        <w:rPr>
          <w:lang w:val="mk-MK"/>
        </w:rPr>
        <w:t xml:space="preserve">ли </w:t>
      </w:r>
      <w:r w:rsidRPr="00ED0444">
        <w:rPr>
          <w:lang w:val="mk-MK"/>
        </w:rPr>
        <w:t xml:space="preserve"> се инсталира</w:t>
      </w:r>
      <w:r w:rsidR="005C18C7">
        <w:rPr>
          <w:lang w:val="mk-MK"/>
        </w:rPr>
        <w:t>ни</w:t>
      </w:r>
      <w:r w:rsidRPr="00ED0444">
        <w:rPr>
          <w:lang w:val="mk-MK"/>
        </w:rPr>
        <w:t xml:space="preserve">. Овие </w:t>
      </w:r>
      <w:r w:rsidR="00914927">
        <w:rPr>
          <w:lang w:val="mk-MK"/>
        </w:rPr>
        <w:t>НДТ</w:t>
      </w:r>
      <w:r w:rsidR="005C18C7">
        <w:rPr>
          <w:lang w:val="mk-MK"/>
        </w:rPr>
        <w:t xml:space="preserve"> се однесуваат н</w:t>
      </w:r>
      <w:r w:rsidRPr="00ED0444">
        <w:rPr>
          <w:lang w:val="mk-MK"/>
        </w:rPr>
        <w:t>а зголемување на енергетската ефикасност и користењето на проширување турбини.</w:t>
      </w:r>
    </w:p>
    <w:p w14:paraId="3E51F5A6" w14:textId="4DF030B9" w:rsidR="00C47034" w:rsidRPr="00ED0444" w:rsidRDefault="00C47034" w:rsidP="005748BE">
      <w:pPr>
        <w:pStyle w:val="ListParagraph"/>
        <w:numPr>
          <w:ilvl w:val="0"/>
          <w:numId w:val="20"/>
        </w:numPr>
        <w:rPr>
          <w:lang w:val="mk-MK"/>
        </w:rPr>
      </w:pPr>
      <w:r w:rsidRPr="00ED0444">
        <w:rPr>
          <w:lang w:val="mk-MK"/>
        </w:rPr>
        <w:t xml:space="preserve">Проверете дали </w:t>
      </w:r>
      <w:r w:rsidR="00914927">
        <w:rPr>
          <w:lang w:val="mk-MK"/>
        </w:rPr>
        <w:t>НДТ</w:t>
      </w:r>
      <w:r w:rsidRPr="00ED0444">
        <w:rPr>
          <w:lang w:val="mk-MK"/>
        </w:rPr>
        <w:t xml:space="preserve"> 46, 47, 48, 49 и 50 се инсталирани и правилно управувани</w:t>
      </w:r>
      <w:r w:rsidR="005C18C7">
        <w:rPr>
          <w:lang w:val="mk-MK"/>
        </w:rPr>
        <w:t xml:space="preserve"> и дали соодветните ГВЕ</w:t>
      </w:r>
      <w:r w:rsidRPr="00ED0444">
        <w:rPr>
          <w:lang w:val="mk-MK"/>
        </w:rPr>
        <w:t xml:space="preserve"> се исполнети. </w:t>
      </w:r>
      <w:r w:rsidR="00914927">
        <w:rPr>
          <w:lang w:val="mk-MK"/>
        </w:rPr>
        <w:t>НДТ</w:t>
      </w:r>
      <w:r w:rsidRPr="00ED0444">
        <w:rPr>
          <w:lang w:val="mk-MK"/>
        </w:rPr>
        <w:t xml:space="preserve"> се однесуваат на намалување на емисиите во воздухот на NOx, CO, NMVOC и метан во котли, гасни турбини и мотори.</w:t>
      </w:r>
    </w:p>
    <w:p w14:paraId="6949BFB6" w14:textId="77777777" w:rsidR="00C47034" w:rsidRPr="00ED0444" w:rsidRDefault="00C47034" w:rsidP="00C47034">
      <w:pPr>
        <w:rPr>
          <w:b/>
          <w:lang w:val="mk-MK"/>
        </w:rPr>
      </w:pPr>
      <w:r w:rsidRPr="00ED0444">
        <w:rPr>
          <w:b/>
          <w:lang w:val="mk-MK"/>
        </w:rPr>
        <w:t>2.2.2.2. Мирис</w:t>
      </w:r>
    </w:p>
    <w:p w14:paraId="4D4CA439" w14:textId="226DDC89" w:rsidR="00C47034" w:rsidRPr="00ED0444" w:rsidRDefault="00C47034" w:rsidP="005748BE">
      <w:pPr>
        <w:pStyle w:val="ListParagraph"/>
        <w:numPr>
          <w:ilvl w:val="0"/>
          <w:numId w:val="21"/>
        </w:numPr>
        <w:rPr>
          <w:lang w:val="mk-MK"/>
        </w:rPr>
      </w:pPr>
      <w:r w:rsidRPr="00ED0444">
        <w:rPr>
          <w:lang w:val="mk-MK"/>
        </w:rPr>
        <w:t xml:space="preserve">Ако е применливо провери дали </w:t>
      </w:r>
      <w:r w:rsidR="00914927">
        <w:rPr>
          <w:lang w:val="mk-MK"/>
        </w:rPr>
        <w:t>НДТ</w:t>
      </w:r>
      <w:r w:rsidR="005C18C7">
        <w:rPr>
          <w:lang w:val="mk-MK"/>
        </w:rPr>
        <w:t xml:space="preserve"> 8 и 9 се</w:t>
      </w:r>
      <w:r w:rsidRPr="00ED0444">
        <w:rPr>
          <w:lang w:val="mk-MK"/>
        </w:rPr>
        <w:t xml:space="preserve"> во дозволата и правилно работи. Овие </w:t>
      </w:r>
      <w:r w:rsidR="00914927">
        <w:rPr>
          <w:lang w:val="mk-MK"/>
        </w:rPr>
        <w:t>НДТ</w:t>
      </w:r>
      <w:r w:rsidRPr="00ED0444">
        <w:rPr>
          <w:lang w:val="mk-MK"/>
        </w:rPr>
        <w:t xml:space="preserve"> се однесуваат на намалување на емисиите на VOC</w:t>
      </w:r>
      <w:r w:rsidR="005C18C7">
        <w:rPr>
          <w:lang w:val="mk-MK"/>
        </w:rPr>
        <w:t xml:space="preserve"> (волатилни органски соединенија)</w:t>
      </w:r>
      <w:r w:rsidRPr="00ED0444">
        <w:rPr>
          <w:lang w:val="mk-MK"/>
        </w:rPr>
        <w:t xml:space="preserve"> и дифузни</w:t>
      </w:r>
      <w:r w:rsidR="005C18C7">
        <w:rPr>
          <w:lang w:val="mk-MK"/>
        </w:rPr>
        <w:t>те емисии вклучувајќи</w:t>
      </w:r>
      <w:r w:rsidRPr="00ED0444">
        <w:rPr>
          <w:lang w:val="mk-MK"/>
        </w:rPr>
        <w:t xml:space="preserve"> емисии</w:t>
      </w:r>
      <w:r w:rsidR="005C18C7">
        <w:rPr>
          <w:lang w:val="mk-MK"/>
        </w:rPr>
        <w:t xml:space="preserve"> на мирис</w:t>
      </w:r>
      <w:r w:rsidRPr="00ED0444">
        <w:rPr>
          <w:lang w:val="mk-MK"/>
        </w:rPr>
        <w:t xml:space="preserve"> во воздухот.</w:t>
      </w:r>
    </w:p>
    <w:p w14:paraId="10450942" w14:textId="77777777" w:rsidR="00C47034" w:rsidRPr="00ED0444" w:rsidRDefault="00C47034" w:rsidP="00C47034">
      <w:pPr>
        <w:rPr>
          <w:b/>
          <w:lang w:val="mk-MK"/>
        </w:rPr>
      </w:pPr>
      <w:r w:rsidRPr="00ED0444">
        <w:rPr>
          <w:b/>
          <w:lang w:val="mk-MK"/>
        </w:rPr>
        <w:t>2.2.2.3. Стакленички гасови</w:t>
      </w:r>
    </w:p>
    <w:p w14:paraId="4380E7B1" w14:textId="51B07D8B" w:rsidR="00C47034" w:rsidRPr="00ED0444" w:rsidRDefault="00C47034" w:rsidP="005748BE">
      <w:pPr>
        <w:pStyle w:val="ListParagraph"/>
        <w:numPr>
          <w:ilvl w:val="0"/>
          <w:numId w:val="21"/>
        </w:numPr>
        <w:rPr>
          <w:lang w:val="mk-MK"/>
        </w:rPr>
      </w:pPr>
      <w:r w:rsidRPr="00ED0444">
        <w:rPr>
          <w:lang w:val="mk-MK"/>
        </w:rPr>
        <w:t>Проверете дали се применува, земени</w:t>
      </w:r>
      <w:r w:rsidR="005C18C7">
        <w:rPr>
          <w:lang w:val="mk-MK"/>
        </w:rPr>
        <w:t xml:space="preserve"> ли се </w:t>
      </w:r>
      <w:r w:rsidRPr="00ED0444">
        <w:rPr>
          <w:lang w:val="mk-MK"/>
        </w:rPr>
        <w:t>во дозволата и спроведува</w:t>
      </w:r>
      <w:r w:rsidR="005C18C7">
        <w:rPr>
          <w:lang w:val="mk-MK"/>
        </w:rPr>
        <w:t>ат</w:t>
      </w:r>
      <w:r w:rsidRPr="00ED0444">
        <w:rPr>
          <w:lang w:val="mk-MK"/>
        </w:rPr>
        <w:t xml:space="preserve"> барањата за енергетска ефикасност (еден од овие </w:t>
      </w:r>
      <w:r w:rsidR="00914927">
        <w:rPr>
          <w:lang w:val="mk-MK"/>
        </w:rPr>
        <w:t>НДТ</w:t>
      </w:r>
      <w:r w:rsidRPr="00ED0444">
        <w:rPr>
          <w:lang w:val="mk-MK"/>
        </w:rPr>
        <w:t xml:space="preserve">: 18, 25, 31, 40, 44, 51, 64, 73, 82 во зависност од видот на согорување </w:t>
      </w:r>
      <w:r w:rsidR="005C18C7">
        <w:rPr>
          <w:lang w:val="mk-MK"/>
        </w:rPr>
        <w:t xml:space="preserve">во </w:t>
      </w:r>
      <w:r w:rsidRPr="00ED0444">
        <w:rPr>
          <w:lang w:val="mk-MK"/>
        </w:rPr>
        <w:t xml:space="preserve">инсталација и горивото што се користи) . Овие </w:t>
      </w:r>
      <w:r w:rsidR="00914927">
        <w:rPr>
          <w:lang w:val="mk-MK"/>
        </w:rPr>
        <w:t>НДТ</w:t>
      </w:r>
      <w:r w:rsidRPr="00ED0444">
        <w:rPr>
          <w:lang w:val="mk-MK"/>
        </w:rPr>
        <w:t xml:space="preserve"> се однесуваат на различни техники за зголемување на енергетската ефикасност.</w:t>
      </w:r>
    </w:p>
    <w:p w14:paraId="43454C6A" w14:textId="77777777" w:rsidR="00C47034" w:rsidRPr="00ED0444" w:rsidRDefault="00C47034" w:rsidP="00C47034">
      <w:pPr>
        <w:rPr>
          <w:b/>
          <w:lang w:val="mk-MK"/>
        </w:rPr>
      </w:pPr>
      <w:r w:rsidRPr="00ED0444">
        <w:rPr>
          <w:b/>
          <w:lang w:val="mk-MK"/>
        </w:rPr>
        <w:t>2.2.2.4. Бучава - вибрации (види 4.2)</w:t>
      </w:r>
    </w:p>
    <w:p w14:paraId="5491538D" w14:textId="0AA56D2F" w:rsidR="00C47034" w:rsidRPr="00ED0444" w:rsidRDefault="00C47034" w:rsidP="005748BE">
      <w:pPr>
        <w:pStyle w:val="ListParagraph"/>
        <w:numPr>
          <w:ilvl w:val="0"/>
          <w:numId w:val="21"/>
        </w:numPr>
        <w:rPr>
          <w:lang w:val="mk-MK"/>
        </w:rPr>
      </w:pPr>
      <w:r w:rsidRPr="00ED0444">
        <w:rPr>
          <w:lang w:val="mk-MK"/>
        </w:rPr>
        <w:t xml:space="preserve">Проверете дали </w:t>
      </w:r>
      <w:r w:rsidR="00914927">
        <w:rPr>
          <w:lang w:val="mk-MK"/>
        </w:rPr>
        <w:t>НДТ</w:t>
      </w:r>
      <w:r w:rsidRPr="00ED0444">
        <w:rPr>
          <w:lang w:val="mk-MK"/>
        </w:rPr>
        <w:t xml:space="preserve"> 14 е применлив</w:t>
      </w:r>
      <w:r w:rsidR="005C18C7">
        <w:rPr>
          <w:lang w:val="mk-MK"/>
        </w:rPr>
        <w:t>а и имплементирана</w:t>
      </w:r>
      <w:r w:rsidRPr="00ED0444">
        <w:rPr>
          <w:lang w:val="mk-MK"/>
        </w:rPr>
        <w:t xml:space="preserve">. Оваа </w:t>
      </w:r>
      <w:r w:rsidR="00914927">
        <w:rPr>
          <w:lang w:val="mk-MK"/>
        </w:rPr>
        <w:t>НДТ</w:t>
      </w:r>
      <w:r w:rsidRPr="00ED0444">
        <w:rPr>
          <w:lang w:val="mk-MK"/>
        </w:rPr>
        <w:t xml:space="preserve"> содржи голем број на техни</w:t>
      </w:r>
      <w:r w:rsidR="005C18C7">
        <w:rPr>
          <w:lang w:val="mk-MK"/>
        </w:rPr>
        <w:t>чки мерки кои може да се користат</w:t>
      </w:r>
      <w:r w:rsidRPr="00ED0444">
        <w:rPr>
          <w:lang w:val="mk-MK"/>
        </w:rPr>
        <w:t xml:space="preserve"> самостојно или во комбинациј</w:t>
      </w:r>
      <w:r w:rsidR="005C18C7">
        <w:rPr>
          <w:lang w:val="mk-MK"/>
        </w:rPr>
        <w:t>а, а исто така содржи и мерки од</w:t>
      </w:r>
      <w:r w:rsidRPr="00ED0444">
        <w:rPr>
          <w:lang w:val="mk-MK"/>
        </w:rPr>
        <w:t xml:space="preserve"> областа на просторното планирање.</w:t>
      </w:r>
    </w:p>
    <w:p w14:paraId="663F2847" w14:textId="77777777" w:rsidR="00C47034" w:rsidRPr="00ED0444" w:rsidRDefault="00C47034" w:rsidP="00C47034">
      <w:pPr>
        <w:rPr>
          <w:b/>
          <w:lang w:val="mk-MK"/>
        </w:rPr>
      </w:pPr>
      <w:r w:rsidRPr="00ED0444">
        <w:rPr>
          <w:b/>
          <w:lang w:val="mk-MK"/>
        </w:rPr>
        <w:t>2.2.2.5. Отпадни води (види 4.3)</w:t>
      </w:r>
    </w:p>
    <w:p w14:paraId="1FF926C1" w14:textId="077DFE91" w:rsidR="00C47034" w:rsidRPr="00ED0444" w:rsidRDefault="00C47034" w:rsidP="005748BE">
      <w:pPr>
        <w:pStyle w:val="ListParagraph"/>
        <w:numPr>
          <w:ilvl w:val="0"/>
          <w:numId w:val="21"/>
        </w:numPr>
        <w:rPr>
          <w:lang w:val="mk-MK"/>
        </w:rPr>
      </w:pPr>
      <w:r w:rsidRPr="00ED0444">
        <w:rPr>
          <w:lang w:val="mk-MK"/>
        </w:rPr>
        <w:t xml:space="preserve">Проверете дали </w:t>
      </w:r>
      <w:r w:rsidR="00914927">
        <w:rPr>
          <w:lang w:val="mk-MK"/>
        </w:rPr>
        <w:t>НДТ</w:t>
      </w:r>
      <w:r w:rsidR="005C18C7">
        <w:rPr>
          <w:lang w:val="mk-MK"/>
        </w:rPr>
        <w:t xml:space="preserve"> 10 и 11 се применуваат  и се</w:t>
      </w:r>
      <w:r w:rsidRPr="00ED0444">
        <w:rPr>
          <w:lang w:val="mk-MK"/>
        </w:rPr>
        <w:t xml:space="preserve"> имплементиран</w:t>
      </w:r>
      <w:r w:rsidR="005C18C7">
        <w:rPr>
          <w:lang w:val="mk-MK"/>
        </w:rPr>
        <w:t>и</w:t>
      </w:r>
      <w:r w:rsidRPr="00ED0444">
        <w:rPr>
          <w:lang w:val="mk-MK"/>
        </w:rPr>
        <w:t xml:space="preserve">. Овие </w:t>
      </w:r>
      <w:r w:rsidR="00914927">
        <w:rPr>
          <w:lang w:val="mk-MK"/>
        </w:rPr>
        <w:t>НДТ</w:t>
      </w:r>
      <w:r w:rsidR="005C18C7">
        <w:rPr>
          <w:lang w:val="mk-MK"/>
        </w:rPr>
        <w:t xml:space="preserve"> содржат</w:t>
      </w:r>
      <w:r w:rsidRPr="00ED0444">
        <w:rPr>
          <w:lang w:val="mk-MK"/>
        </w:rPr>
        <w:t xml:space="preserve"> мерки за намалување на употре</w:t>
      </w:r>
      <w:r w:rsidR="005C18C7">
        <w:rPr>
          <w:lang w:val="mk-MK"/>
        </w:rPr>
        <w:t>бата</w:t>
      </w:r>
      <w:r w:rsidRPr="00ED0444">
        <w:rPr>
          <w:lang w:val="mk-MK"/>
        </w:rPr>
        <w:t xml:space="preserve"> на вода и голем број на</w:t>
      </w:r>
      <w:r w:rsidR="005C18C7">
        <w:rPr>
          <w:lang w:val="mk-MK"/>
        </w:rPr>
        <w:t xml:space="preserve"> техники кои треба да се користат</w:t>
      </w:r>
      <w:r w:rsidRPr="00ED0444">
        <w:rPr>
          <w:lang w:val="mk-MK"/>
        </w:rPr>
        <w:t xml:space="preserve"> во комбинација за намалување на емисиите во површинските води.</w:t>
      </w:r>
    </w:p>
    <w:p w14:paraId="3450705D" w14:textId="77777777" w:rsidR="00C47034" w:rsidRPr="00ED0444" w:rsidRDefault="00C47034" w:rsidP="00C47034">
      <w:pPr>
        <w:rPr>
          <w:b/>
          <w:lang w:val="mk-MK"/>
        </w:rPr>
      </w:pPr>
      <w:r w:rsidRPr="00ED0444">
        <w:rPr>
          <w:b/>
          <w:lang w:val="mk-MK"/>
        </w:rPr>
        <w:t>2.2.2.6. Почвата и подземните води (види 4.4)</w:t>
      </w:r>
    </w:p>
    <w:p w14:paraId="0CF366BF" w14:textId="08A3030F" w:rsidR="00C47034" w:rsidRPr="00ED0444" w:rsidRDefault="00C47034" w:rsidP="005748BE">
      <w:pPr>
        <w:pStyle w:val="ListParagraph"/>
        <w:numPr>
          <w:ilvl w:val="0"/>
          <w:numId w:val="21"/>
        </w:numPr>
        <w:rPr>
          <w:lang w:val="mk-MK"/>
        </w:rPr>
      </w:pPr>
      <w:r w:rsidRPr="00ED0444">
        <w:rPr>
          <w:lang w:val="mk-MK"/>
        </w:rPr>
        <w:t xml:space="preserve">Проверете дали </w:t>
      </w:r>
      <w:r w:rsidR="00914927">
        <w:rPr>
          <w:lang w:val="mk-MK"/>
        </w:rPr>
        <w:t>НДТ</w:t>
      </w:r>
      <w:r w:rsidRPr="00ED0444">
        <w:rPr>
          <w:lang w:val="mk-MK"/>
        </w:rPr>
        <w:t xml:space="preserve"> 15 е применлив </w:t>
      </w:r>
      <w:r w:rsidR="005C18C7">
        <w:rPr>
          <w:lang w:val="mk-MK"/>
        </w:rPr>
        <w:t>аи имплементирана</w:t>
      </w:r>
      <w:r w:rsidRPr="00ED0444">
        <w:rPr>
          <w:lang w:val="mk-MK"/>
        </w:rPr>
        <w:t xml:space="preserve">. Оваа </w:t>
      </w:r>
      <w:r w:rsidR="00914927">
        <w:rPr>
          <w:lang w:val="mk-MK"/>
        </w:rPr>
        <w:t>НДТ</w:t>
      </w:r>
      <w:r w:rsidRPr="00ED0444">
        <w:rPr>
          <w:lang w:val="mk-MK"/>
        </w:rPr>
        <w:t xml:space="preserve"> содржи голем број на превентивни мерки за заштита на почвата и подземните води </w:t>
      </w:r>
      <w:r w:rsidR="006C7FCF">
        <w:rPr>
          <w:lang w:val="mk-MK"/>
        </w:rPr>
        <w:t xml:space="preserve">кои </w:t>
      </w:r>
      <w:r w:rsidRPr="00ED0444">
        <w:rPr>
          <w:lang w:val="mk-MK"/>
        </w:rPr>
        <w:t>треба да се применат за складирање и ракување.</w:t>
      </w:r>
    </w:p>
    <w:p w14:paraId="70B96162" w14:textId="77777777" w:rsidR="00C47034" w:rsidRPr="00ED0444" w:rsidRDefault="00C47034" w:rsidP="00C47034">
      <w:pPr>
        <w:rPr>
          <w:b/>
          <w:lang w:val="mk-MK"/>
        </w:rPr>
      </w:pPr>
      <w:r w:rsidRPr="00ED0444">
        <w:rPr>
          <w:b/>
          <w:lang w:val="mk-MK"/>
        </w:rPr>
        <w:t>2.2.2.7. Отпад (види 4.5)</w:t>
      </w:r>
    </w:p>
    <w:p w14:paraId="12D9EF0E" w14:textId="260411F3" w:rsidR="00C47034" w:rsidRPr="00ED0444" w:rsidRDefault="006C7FCF" w:rsidP="005748BE">
      <w:pPr>
        <w:pStyle w:val="ListParagraph"/>
        <w:numPr>
          <w:ilvl w:val="0"/>
          <w:numId w:val="21"/>
        </w:numPr>
        <w:rPr>
          <w:lang w:val="mk-MK"/>
        </w:rPr>
      </w:pPr>
      <w:r>
        <w:rPr>
          <w:lang w:val="mk-MK"/>
        </w:rPr>
        <w:lastRenderedPageBreak/>
        <w:t>И</w:t>
      </w:r>
      <w:r w:rsidR="00C47034" w:rsidRPr="00ED0444">
        <w:rPr>
          <w:lang w:val="mk-MK"/>
        </w:rPr>
        <w:t>спита</w:t>
      </w:r>
      <w:r>
        <w:rPr>
          <w:lang w:val="mk-MK"/>
        </w:rPr>
        <w:t>јте</w:t>
      </w:r>
      <w:r w:rsidR="00C47034" w:rsidRPr="00ED0444">
        <w:rPr>
          <w:lang w:val="mk-MK"/>
        </w:rPr>
        <w:t xml:space="preserve"> до кој степен се применуваат техники</w:t>
      </w:r>
      <w:r>
        <w:rPr>
          <w:lang w:val="mk-MK"/>
        </w:rPr>
        <w:t>те</w:t>
      </w:r>
      <w:r w:rsidR="00C47034" w:rsidRPr="00ED0444">
        <w:rPr>
          <w:lang w:val="mk-MK"/>
        </w:rPr>
        <w:t xml:space="preserve"> за минимизирање на отпадот (</w:t>
      </w:r>
      <w:r w:rsidR="00914927">
        <w:rPr>
          <w:lang w:val="mk-MK"/>
        </w:rPr>
        <w:t>НДТ</w:t>
      </w:r>
      <w:r w:rsidR="00C47034" w:rsidRPr="00ED0444">
        <w:rPr>
          <w:lang w:val="mk-MK"/>
        </w:rPr>
        <w:t xml:space="preserve"> 12). Оваа </w:t>
      </w:r>
      <w:r w:rsidR="00914927">
        <w:rPr>
          <w:lang w:val="mk-MK"/>
        </w:rPr>
        <w:t>НДТ</w:t>
      </w:r>
      <w:r w:rsidR="00C47034" w:rsidRPr="00ED0444">
        <w:rPr>
          <w:lang w:val="mk-MK"/>
        </w:rPr>
        <w:t xml:space="preserve"> пропишува воспоставување на план за управување со отпадот.</w:t>
      </w:r>
    </w:p>
    <w:p w14:paraId="4DB4A8B4" w14:textId="77777777" w:rsidR="00C47034" w:rsidRPr="00ED0444" w:rsidRDefault="00C47034" w:rsidP="00C47034">
      <w:pPr>
        <w:rPr>
          <w:b/>
          <w:lang w:val="mk-MK"/>
        </w:rPr>
      </w:pPr>
      <w:r w:rsidRPr="00ED0444">
        <w:rPr>
          <w:b/>
          <w:lang w:val="mk-MK"/>
        </w:rPr>
        <w:t>2.2.2.8. Безбедност (види 4.7)</w:t>
      </w:r>
    </w:p>
    <w:p w14:paraId="26B8D935" w14:textId="14FB7D58" w:rsidR="00C47034" w:rsidRPr="00ED0444" w:rsidRDefault="00C47034" w:rsidP="005748BE">
      <w:pPr>
        <w:pStyle w:val="ListParagraph"/>
        <w:numPr>
          <w:ilvl w:val="0"/>
          <w:numId w:val="21"/>
        </w:numPr>
        <w:rPr>
          <w:lang w:val="mk-MK"/>
        </w:rPr>
      </w:pPr>
      <w:r w:rsidRPr="00ED0444">
        <w:rPr>
          <w:lang w:val="mk-MK"/>
        </w:rPr>
        <w:t>Безбедносни</w:t>
      </w:r>
      <w:r w:rsidR="006C7FCF">
        <w:rPr>
          <w:lang w:val="mk-MK"/>
        </w:rPr>
        <w:t>те</w:t>
      </w:r>
      <w:r w:rsidRPr="00ED0444">
        <w:rPr>
          <w:lang w:val="mk-MK"/>
        </w:rPr>
        <w:t xml:space="preserve"> аспекти се надвор од опфатот на на</w:t>
      </w:r>
      <w:r w:rsidR="006C7FCF">
        <w:rPr>
          <w:lang w:val="mk-MK"/>
        </w:rPr>
        <w:t>јдобрите расположливи техники</w:t>
      </w:r>
      <w:r w:rsidRPr="00ED0444">
        <w:rPr>
          <w:lang w:val="mk-MK"/>
        </w:rPr>
        <w:t>; обврските на Директивата Севесо (III) мора да се спроведува</w:t>
      </w:r>
      <w:r w:rsidR="006C7FCF">
        <w:rPr>
          <w:lang w:val="mk-MK"/>
        </w:rPr>
        <w:t>ат</w:t>
      </w:r>
      <w:r w:rsidRPr="00ED0444">
        <w:rPr>
          <w:lang w:val="mk-MK"/>
        </w:rPr>
        <w:t xml:space="preserve"> и применув</w:t>
      </w:r>
      <w:r w:rsidR="006C7FCF">
        <w:rPr>
          <w:lang w:val="mk-MK"/>
        </w:rPr>
        <w:t>а</w:t>
      </w:r>
      <w:r w:rsidRPr="00ED0444">
        <w:rPr>
          <w:lang w:val="mk-MK"/>
        </w:rPr>
        <w:t>а</w:t>
      </w:r>
      <w:r w:rsidR="006C7FCF">
        <w:rPr>
          <w:lang w:val="mk-MK"/>
        </w:rPr>
        <w:t>т за капацитетот</w:t>
      </w:r>
      <w:r w:rsidRPr="00ED0444">
        <w:rPr>
          <w:lang w:val="mk-MK"/>
        </w:rPr>
        <w:t>.</w:t>
      </w:r>
    </w:p>
    <w:p w14:paraId="1C719B9A" w14:textId="77777777" w:rsidR="00C47034" w:rsidRPr="00ED0444" w:rsidRDefault="00C47034" w:rsidP="00C47034">
      <w:pPr>
        <w:rPr>
          <w:b/>
          <w:lang w:val="mk-MK"/>
        </w:rPr>
      </w:pPr>
      <w:r w:rsidRPr="00ED0444">
        <w:rPr>
          <w:b/>
          <w:lang w:val="mk-MK"/>
        </w:rPr>
        <w:t>2.2.2.9. Систем за управување со животната средина (види 4.8)</w:t>
      </w:r>
    </w:p>
    <w:p w14:paraId="4D6B1226" w14:textId="4FC3D8A9" w:rsidR="00C47034" w:rsidRPr="00ED0444" w:rsidRDefault="00C47034" w:rsidP="005748BE">
      <w:pPr>
        <w:pStyle w:val="ListParagraph"/>
        <w:numPr>
          <w:ilvl w:val="0"/>
          <w:numId w:val="21"/>
        </w:numPr>
        <w:rPr>
          <w:lang w:val="mk-MK"/>
        </w:rPr>
      </w:pPr>
      <w:r w:rsidRPr="00ED0444">
        <w:rPr>
          <w:lang w:val="mk-MK"/>
        </w:rPr>
        <w:t xml:space="preserve">Проверете </w:t>
      </w:r>
      <w:r w:rsidR="006C7FCF">
        <w:rPr>
          <w:lang w:val="mk-MK"/>
        </w:rPr>
        <w:t xml:space="preserve">ги </w:t>
      </w:r>
      <w:r w:rsidRPr="00ED0444">
        <w:rPr>
          <w:lang w:val="mk-MK"/>
        </w:rPr>
        <w:t xml:space="preserve">потребните елементи на </w:t>
      </w:r>
      <w:r w:rsidR="006C7FCF">
        <w:rPr>
          <w:lang w:val="mk-MK"/>
        </w:rPr>
        <w:t>ЕМС за постројки за согорување</w:t>
      </w:r>
      <w:r w:rsidRPr="00ED0444">
        <w:rPr>
          <w:lang w:val="mk-MK"/>
        </w:rPr>
        <w:t xml:space="preserve"> или инсталација согласно елементите опишани во </w:t>
      </w:r>
      <w:r w:rsidR="00914927">
        <w:rPr>
          <w:lang w:val="mk-MK"/>
        </w:rPr>
        <w:t>НДТ</w:t>
      </w:r>
      <w:r w:rsidRPr="00ED0444">
        <w:rPr>
          <w:lang w:val="mk-MK"/>
        </w:rPr>
        <w:t xml:space="preserve"> 1. Оваа НДТ содржи голем број на критериуми (10), кои треба да бидат проверени (види Анекс 2 од Упатството за инспекција).</w:t>
      </w:r>
    </w:p>
    <w:p w14:paraId="1FA42648" w14:textId="05568731" w:rsidR="00C47034" w:rsidRPr="00ED0444" w:rsidRDefault="006C7FCF" w:rsidP="00C47034">
      <w:pPr>
        <w:rPr>
          <w:b/>
          <w:lang w:val="mk-MK"/>
        </w:rPr>
      </w:pPr>
      <w:r>
        <w:rPr>
          <w:b/>
          <w:lang w:val="mk-MK"/>
        </w:rPr>
        <w:t xml:space="preserve">2.2.2.10. Само-мониторинг и известување </w:t>
      </w:r>
    </w:p>
    <w:p w14:paraId="775D4FE6" w14:textId="638D1D05" w:rsidR="00C47034" w:rsidRPr="00ED0444" w:rsidRDefault="00C47034" w:rsidP="005748BE">
      <w:pPr>
        <w:pStyle w:val="ListParagraph"/>
        <w:numPr>
          <w:ilvl w:val="0"/>
          <w:numId w:val="21"/>
        </w:numPr>
        <w:rPr>
          <w:lang w:val="mk-MK"/>
        </w:rPr>
      </w:pPr>
      <w:r w:rsidRPr="00ED0444">
        <w:rPr>
          <w:lang w:val="mk-MK"/>
        </w:rPr>
        <w:t xml:space="preserve">Проверете дали се исполнуваат обврските за следење како што е опишано во </w:t>
      </w:r>
      <w:r w:rsidR="00914927">
        <w:rPr>
          <w:lang w:val="mk-MK"/>
        </w:rPr>
        <w:t>НДТ</w:t>
      </w:r>
      <w:r w:rsidRPr="00ED0444">
        <w:rPr>
          <w:lang w:val="mk-MK"/>
        </w:rPr>
        <w:t xml:space="preserve"> 2 и 3 </w:t>
      </w:r>
      <w:r w:rsidR="006C7FCF">
        <w:rPr>
          <w:lang w:val="mk-MK"/>
        </w:rPr>
        <w:t xml:space="preserve">дали </w:t>
      </w:r>
      <w:r w:rsidRPr="00ED0444">
        <w:rPr>
          <w:lang w:val="mk-MK"/>
        </w:rPr>
        <w:t xml:space="preserve">се спроведува во дозволата и се применуваат во пракса, според честотата и стандардите кои се пропишани во соодветните </w:t>
      </w:r>
      <w:r w:rsidR="00914927">
        <w:rPr>
          <w:lang w:val="mk-MK"/>
        </w:rPr>
        <w:t>НДТ</w:t>
      </w:r>
      <w:r w:rsidRPr="00ED0444">
        <w:rPr>
          <w:lang w:val="mk-MK"/>
        </w:rPr>
        <w:t>.</w:t>
      </w:r>
    </w:p>
    <w:p w14:paraId="51CF3027" w14:textId="5AAF553C" w:rsidR="00C47034" w:rsidRPr="00ED0444" w:rsidRDefault="006C7FCF" w:rsidP="00C47034">
      <w:pPr>
        <w:rPr>
          <w:b/>
          <w:lang w:val="mk-MK"/>
        </w:rPr>
      </w:pPr>
      <w:r>
        <w:rPr>
          <w:b/>
          <w:lang w:val="mk-MK"/>
        </w:rPr>
        <w:t>2.2.2.11. П</w:t>
      </w:r>
      <w:r w:rsidR="00C47034" w:rsidRPr="00ED0444">
        <w:rPr>
          <w:b/>
          <w:lang w:val="mk-MK"/>
        </w:rPr>
        <w:t>отрошувачка на енергија и ефикасност</w:t>
      </w:r>
    </w:p>
    <w:p w14:paraId="14771CEA" w14:textId="0A2B279F" w:rsidR="00C47034" w:rsidRPr="00ED0444" w:rsidRDefault="00C47034" w:rsidP="005748BE">
      <w:pPr>
        <w:pStyle w:val="ListParagraph"/>
        <w:numPr>
          <w:ilvl w:val="0"/>
          <w:numId w:val="21"/>
        </w:numPr>
        <w:rPr>
          <w:lang w:val="mk-MK"/>
        </w:rPr>
      </w:pPr>
      <w:r w:rsidRPr="00ED0444">
        <w:rPr>
          <w:lang w:val="mk-MK"/>
        </w:rPr>
        <w:t xml:space="preserve">Проверете дали техниките опишани во </w:t>
      </w:r>
      <w:r w:rsidR="00914927">
        <w:rPr>
          <w:lang w:val="mk-MK"/>
        </w:rPr>
        <w:t>НДТ</w:t>
      </w:r>
      <w:r w:rsidR="006C7FCF">
        <w:rPr>
          <w:lang w:val="mk-MK"/>
        </w:rPr>
        <w:t xml:space="preserve"> 7 ако е потребно</w:t>
      </w:r>
      <w:r w:rsidRPr="00ED0444">
        <w:rPr>
          <w:lang w:val="mk-MK"/>
        </w:rPr>
        <w:t xml:space="preserve"> се имплементираат. (Подобрување на енергетската ефикасност</w:t>
      </w:r>
    </w:p>
    <w:p w14:paraId="5CF25115" w14:textId="30F86D18" w:rsidR="00C47034" w:rsidRDefault="00C47034" w:rsidP="005748BE">
      <w:pPr>
        <w:pStyle w:val="ListParagraph"/>
        <w:numPr>
          <w:ilvl w:val="0"/>
          <w:numId w:val="21"/>
        </w:numPr>
        <w:rPr>
          <w:lang w:val="mk-MK"/>
        </w:rPr>
      </w:pPr>
      <w:r w:rsidRPr="00ED0444">
        <w:rPr>
          <w:lang w:val="mk-MK"/>
        </w:rPr>
        <w:t>Пров</w:t>
      </w:r>
      <w:r w:rsidR="006C7FCF">
        <w:rPr>
          <w:lang w:val="mk-MK"/>
        </w:rPr>
        <w:t xml:space="preserve">ерете дали се применува, се </w:t>
      </w:r>
      <w:r w:rsidRPr="00ED0444">
        <w:rPr>
          <w:lang w:val="mk-MK"/>
        </w:rPr>
        <w:t xml:space="preserve">во дозволата и </w:t>
      </w:r>
      <w:r w:rsidR="006C7FCF">
        <w:rPr>
          <w:lang w:val="mk-MK"/>
        </w:rPr>
        <w:t xml:space="preserve">се </w:t>
      </w:r>
      <w:r w:rsidRPr="00ED0444">
        <w:rPr>
          <w:lang w:val="mk-MK"/>
        </w:rPr>
        <w:t>спроведув</w:t>
      </w:r>
      <w:r w:rsidR="006C7FCF">
        <w:rPr>
          <w:lang w:val="mk-MK"/>
        </w:rPr>
        <w:t>а</w:t>
      </w:r>
      <w:r w:rsidRPr="00ED0444">
        <w:rPr>
          <w:lang w:val="mk-MK"/>
        </w:rPr>
        <w:t>а</w:t>
      </w:r>
      <w:r w:rsidR="006C7FCF">
        <w:rPr>
          <w:lang w:val="mk-MK"/>
        </w:rPr>
        <w:t>т</w:t>
      </w:r>
      <w:r w:rsidRPr="00ED0444">
        <w:rPr>
          <w:lang w:val="mk-MK"/>
        </w:rPr>
        <w:t xml:space="preserve"> барањата за енергетска ефикасност (еден од овие </w:t>
      </w:r>
      <w:r w:rsidR="00914927">
        <w:rPr>
          <w:lang w:val="mk-MK"/>
        </w:rPr>
        <w:t>НДТ</w:t>
      </w:r>
      <w:r w:rsidRPr="00ED0444">
        <w:rPr>
          <w:lang w:val="mk-MK"/>
        </w:rPr>
        <w:t xml:space="preserve">: 18, 25, 31, 40, 44, 51, 64, 73, 82 во зависност од видот на согорување </w:t>
      </w:r>
      <w:r w:rsidR="006C7FCF">
        <w:rPr>
          <w:lang w:val="mk-MK"/>
        </w:rPr>
        <w:t xml:space="preserve">во </w:t>
      </w:r>
      <w:r w:rsidRPr="00ED0444">
        <w:rPr>
          <w:lang w:val="mk-MK"/>
        </w:rPr>
        <w:t>инсталација</w:t>
      </w:r>
      <w:r w:rsidR="006C7FCF">
        <w:rPr>
          <w:lang w:val="mk-MK"/>
        </w:rPr>
        <w:t>та</w:t>
      </w:r>
      <w:r w:rsidRPr="00ED0444">
        <w:rPr>
          <w:lang w:val="mk-MK"/>
        </w:rPr>
        <w:t xml:space="preserve"> и горивото што се користи) . Види исто така 5.2.1.3</w:t>
      </w:r>
    </w:p>
    <w:p w14:paraId="6E6C83C9" w14:textId="77777777" w:rsidR="00ED0444" w:rsidRDefault="00ED0444" w:rsidP="00ED0444">
      <w:pPr>
        <w:pStyle w:val="ListParagraph"/>
        <w:rPr>
          <w:lang w:val="mk-MK"/>
        </w:rPr>
      </w:pPr>
    </w:p>
    <w:p w14:paraId="6A0A7F7E" w14:textId="0C1BEA89" w:rsidR="00ED0444" w:rsidRPr="00472290" w:rsidRDefault="00ED0444" w:rsidP="00ED0444">
      <w:pPr>
        <w:pStyle w:val="Heading3"/>
        <w:numPr>
          <w:ilvl w:val="2"/>
          <w:numId w:val="2"/>
        </w:numPr>
        <w:rPr>
          <w:lang w:val="ro-RO"/>
        </w:rPr>
      </w:pPr>
      <w:bookmarkStart w:id="144" w:name="_Toc433898548"/>
      <w:bookmarkStart w:id="145" w:name="_Toc440618422"/>
      <w:bookmarkStart w:id="146" w:name="_Toc444009863"/>
      <w:r>
        <w:rPr>
          <w:lang w:val="mk-MK"/>
        </w:rPr>
        <w:t>Опструкции од страна на опараторот</w:t>
      </w:r>
      <w:bookmarkEnd w:id="144"/>
      <w:bookmarkEnd w:id="145"/>
      <w:bookmarkEnd w:id="146"/>
    </w:p>
    <w:p w14:paraId="2FC9FE02" w14:textId="77777777" w:rsidR="00ED0444" w:rsidRPr="000956EE" w:rsidRDefault="00ED0444" w:rsidP="00ED0444">
      <w:pPr>
        <w:pStyle w:val="ListDash1"/>
        <w:numPr>
          <w:ilvl w:val="0"/>
          <w:numId w:val="0"/>
        </w:numPr>
        <w:spacing w:before="0" w:after="0" w:line="276" w:lineRule="auto"/>
        <w:rPr>
          <w:rFonts w:ascii="Calibri" w:eastAsia="Calibri" w:hAnsi="Calibri"/>
          <w:sz w:val="22"/>
          <w:szCs w:val="22"/>
          <w:lang w:val="mk-MK" w:eastAsia="en-US"/>
        </w:rPr>
      </w:pPr>
      <w:r>
        <w:rPr>
          <w:rFonts w:ascii="Calibri" w:eastAsia="Calibri" w:hAnsi="Calibri"/>
          <w:sz w:val="22"/>
          <w:szCs w:val="22"/>
          <w:lang w:val="mk-MK" w:eastAsia="en-US"/>
        </w:rPr>
        <w:t>Понекогаш може да се случи операторот да не сака да има инспекција во неговата инсталација и не им ја отвора вратата на инспекторите. Ако ова се случи инспекторот има право да повик</w:t>
      </w:r>
      <w:r w:rsidRPr="000956EE">
        <w:rPr>
          <w:rFonts w:ascii="Calibri" w:eastAsia="Calibri" w:hAnsi="Calibri"/>
          <w:sz w:val="22"/>
          <w:szCs w:val="22"/>
          <w:lang w:val="mk-MK" w:eastAsia="en-US"/>
        </w:rPr>
        <w:t>a</w:t>
      </w:r>
      <w:r>
        <w:rPr>
          <w:rFonts w:ascii="Calibri" w:eastAsia="Calibri" w:hAnsi="Calibri"/>
          <w:sz w:val="22"/>
          <w:szCs w:val="22"/>
          <w:lang w:val="mk-MK" w:eastAsia="en-US"/>
        </w:rPr>
        <w:t xml:space="preserve"> претставник од државната администрација или полиција за помош</w:t>
      </w:r>
      <w:r w:rsidRPr="000956EE">
        <w:rPr>
          <w:rFonts w:ascii="Calibri" w:eastAsia="Calibri" w:hAnsi="Calibri"/>
          <w:sz w:val="22"/>
          <w:szCs w:val="22"/>
          <w:lang w:val="mk-MK" w:eastAsia="en-US"/>
        </w:rPr>
        <w:t>.</w:t>
      </w:r>
    </w:p>
    <w:p w14:paraId="73226884" w14:textId="77777777" w:rsidR="00ED0444" w:rsidRDefault="00ED0444" w:rsidP="00ED0444">
      <w:pPr>
        <w:pStyle w:val="ListDash1"/>
        <w:numPr>
          <w:ilvl w:val="0"/>
          <w:numId w:val="0"/>
        </w:numPr>
        <w:spacing w:after="0"/>
        <w:ind w:left="420" w:hanging="420"/>
        <w:rPr>
          <w:rFonts w:ascii="Calibri" w:eastAsia="Calibri" w:hAnsi="Calibri"/>
          <w:sz w:val="22"/>
          <w:szCs w:val="22"/>
          <w:lang w:val="mk-MK" w:eastAsia="en-US"/>
        </w:rPr>
      </w:pPr>
      <w:r w:rsidRPr="000956EE">
        <w:rPr>
          <w:rFonts w:ascii="Calibri" w:eastAsia="Calibri" w:hAnsi="Calibri"/>
          <w:sz w:val="22"/>
          <w:szCs w:val="22"/>
          <w:lang w:val="mk-MK" w:eastAsia="en-US"/>
        </w:rPr>
        <w:t>Но, ова не е единствениот начин  операторот</w:t>
      </w:r>
      <w:r>
        <w:rPr>
          <w:rFonts w:ascii="Calibri" w:eastAsia="Calibri" w:hAnsi="Calibri"/>
          <w:sz w:val="22"/>
          <w:szCs w:val="22"/>
          <w:lang w:val="mk-MK" w:eastAsia="en-US"/>
        </w:rPr>
        <w:t xml:space="preserve"> да</w:t>
      </w:r>
      <w:r w:rsidRPr="000956EE">
        <w:rPr>
          <w:rFonts w:ascii="Calibri" w:eastAsia="Calibri" w:hAnsi="Calibri"/>
          <w:sz w:val="22"/>
          <w:szCs w:val="22"/>
          <w:lang w:val="mk-MK" w:eastAsia="en-US"/>
        </w:rPr>
        <w:t xml:space="preserve"> може да ја попречи работата.</w:t>
      </w:r>
    </w:p>
    <w:p w14:paraId="0A108F56" w14:textId="77777777" w:rsidR="00ED0444" w:rsidRPr="000956EE" w:rsidRDefault="00ED0444" w:rsidP="00ED0444">
      <w:pPr>
        <w:pStyle w:val="ListDash1"/>
        <w:numPr>
          <w:ilvl w:val="0"/>
          <w:numId w:val="0"/>
        </w:numPr>
        <w:spacing w:after="0"/>
        <w:ind w:left="420" w:hanging="420"/>
        <w:rPr>
          <w:rFonts w:ascii="Calibri" w:eastAsia="Calibri" w:hAnsi="Calibri"/>
          <w:sz w:val="22"/>
          <w:szCs w:val="22"/>
          <w:lang w:val="mk-MK" w:eastAsia="en-US"/>
        </w:rPr>
      </w:pPr>
      <w:r w:rsidRPr="000956EE">
        <w:rPr>
          <w:rFonts w:ascii="Calibri" w:eastAsia="Calibri" w:hAnsi="Calibri"/>
          <w:sz w:val="22"/>
          <w:szCs w:val="22"/>
          <w:lang w:val="mk-MK" w:eastAsia="en-US"/>
        </w:rPr>
        <w:t xml:space="preserve"> Други начини може </w:t>
      </w:r>
      <w:r>
        <w:rPr>
          <w:rFonts w:ascii="Calibri" w:eastAsia="Calibri" w:hAnsi="Calibri"/>
          <w:sz w:val="22"/>
          <w:szCs w:val="22"/>
          <w:lang w:val="mk-MK" w:eastAsia="en-US"/>
        </w:rPr>
        <w:t>да се случат</w:t>
      </w:r>
      <w:r w:rsidRPr="000956EE">
        <w:rPr>
          <w:rFonts w:ascii="Calibri" w:eastAsia="Calibri" w:hAnsi="Calibri"/>
          <w:sz w:val="22"/>
          <w:szCs w:val="22"/>
          <w:lang w:val="mk-MK" w:eastAsia="en-US"/>
        </w:rPr>
        <w:t xml:space="preserve"> како што се:</w:t>
      </w:r>
    </w:p>
    <w:p w14:paraId="385781A0" w14:textId="77777777" w:rsidR="00ED0444" w:rsidRPr="006B07C0" w:rsidRDefault="00ED0444" w:rsidP="00ED0444">
      <w:pPr>
        <w:pStyle w:val="ListDash1"/>
        <w:numPr>
          <w:ilvl w:val="0"/>
          <w:numId w:val="0"/>
        </w:numPr>
        <w:spacing w:after="0"/>
        <w:ind w:left="420"/>
        <w:rPr>
          <w:rFonts w:ascii="Calibri" w:eastAsia="Calibri" w:hAnsi="Calibri"/>
          <w:sz w:val="22"/>
          <w:szCs w:val="22"/>
          <w:lang w:val="mk-MK" w:eastAsia="en-US"/>
        </w:rPr>
      </w:pPr>
      <w:r w:rsidRPr="006B07C0">
        <w:rPr>
          <w:rFonts w:ascii="Calibri" w:eastAsia="Calibri" w:hAnsi="Calibri"/>
          <w:sz w:val="22"/>
          <w:szCs w:val="22"/>
          <w:lang w:val="mk-MK" w:eastAsia="en-US"/>
        </w:rPr>
        <w:t xml:space="preserve">• Не обезбедување на информации објаснувајќи во исто време дека </w:t>
      </w:r>
      <w:r>
        <w:rPr>
          <w:rFonts w:ascii="Calibri" w:eastAsia="Calibri" w:hAnsi="Calibri"/>
          <w:sz w:val="22"/>
          <w:szCs w:val="22"/>
          <w:lang w:val="mk-MK" w:eastAsia="en-US"/>
        </w:rPr>
        <w:t>истите</w:t>
      </w:r>
      <w:r w:rsidRPr="006B07C0">
        <w:rPr>
          <w:rFonts w:ascii="Calibri" w:eastAsia="Calibri" w:hAnsi="Calibri"/>
          <w:sz w:val="22"/>
          <w:szCs w:val="22"/>
          <w:lang w:val="mk-MK" w:eastAsia="en-US"/>
        </w:rPr>
        <w:t xml:space="preserve"> се доверливи</w:t>
      </w:r>
    </w:p>
    <w:p w14:paraId="1014B77C" w14:textId="77777777" w:rsidR="00ED0444" w:rsidRPr="006B07C0" w:rsidRDefault="00ED0444" w:rsidP="00ED0444">
      <w:pPr>
        <w:pStyle w:val="ListDash1"/>
        <w:numPr>
          <w:ilvl w:val="0"/>
          <w:numId w:val="0"/>
        </w:numPr>
        <w:spacing w:after="0"/>
        <w:ind w:left="420"/>
        <w:rPr>
          <w:rFonts w:ascii="Calibri" w:eastAsia="Calibri" w:hAnsi="Calibri"/>
          <w:sz w:val="22"/>
          <w:szCs w:val="22"/>
          <w:lang w:val="mk-MK" w:eastAsia="en-US"/>
        </w:rPr>
      </w:pPr>
      <w:r w:rsidRPr="006B07C0">
        <w:rPr>
          <w:rFonts w:ascii="Calibri" w:eastAsia="Calibri" w:hAnsi="Calibri"/>
          <w:sz w:val="22"/>
          <w:szCs w:val="22"/>
          <w:lang w:val="mk-MK" w:eastAsia="en-US"/>
        </w:rPr>
        <w:t>• Се обидува</w:t>
      </w:r>
      <w:r>
        <w:rPr>
          <w:rFonts w:ascii="Calibri" w:eastAsia="Calibri" w:hAnsi="Calibri"/>
          <w:sz w:val="22"/>
          <w:szCs w:val="22"/>
          <w:lang w:val="mk-MK" w:eastAsia="en-US"/>
        </w:rPr>
        <w:t>а</w:t>
      </w:r>
      <w:r w:rsidRPr="006B07C0">
        <w:rPr>
          <w:rFonts w:ascii="Calibri" w:eastAsia="Calibri" w:hAnsi="Calibri"/>
          <w:sz w:val="22"/>
          <w:szCs w:val="22"/>
          <w:lang w:val="mk-MK" w:eastAsia="en-US"/>
        </w:rPr>
        <w:t>т</w:t>
      </w:r>
      <w:r>
        <w:rPr>
          <w:rFonts w:ascii="Calibri" w:eastAsia="Calibri" w:hAnsi="Calibri"/>
          <w:sz w:val="22"/>
          <w:szCs w:val="22"/>
          <w:lang w:val="mk-MK" w:eastAsia="en-US"/>
        </w:rPr>
        <w:t xml:space="preserve"> да добијат</w:t>
      </w:r>
      <w:r w:rsidRPr="006B07C0">
        <w:rPr>
          <w:rFonts w:ascii="Calibri" w:eastAsia="Calibri" w:hAnsi="Calibri"/>
          <w:sz w:val="22"/>
          <w:szCs w:val="22"/>
          <w:lang w:val="mk-MK" w:eastAsia="en-US"/>
        </w:rPr>
        <w:t xml:space="preserve"> неколку дополнителни дена за подготовка на информации кои се потребни</w:t>
      </w:r>
    </w:p>
    <w:p w14:paraId="05CFDA28" w14:textId="77777777" w:rsidR="00ED0444" w:rsidRDefault="00ED0444" w:rsidP="00ED0444">
      <w:pPr>
        <w:pStyle w:val="ListDash1"/>
        <w:numPr>
          <w:ilvl w:val="0"/>
          <w:numId w:val="0"/>
        </w:numPr>
        <w:spacing w:after="0"/>
        <w:ind w:left="420"/>
        <w:rPr>
          <w:rFonts w:ascii="Calibri" w:eastAsia="Calibri" w:hAnsi="Calibri"/>
          <w:sz w:val="22"/>
          <w:szCs w:val="22"/>
          <w:lang w:val="mk-MK" w:eastAsia="en-US"/>
        </w:rPr>
      </w:pPr>
      <w:r w:rsidRPr="006B07C0">
        <w:rPr>
          <w:rFonts w:ascii="Calibri" w:eastAsia="Calibri" w:hAnsi="Calibri"/>
          <w:sz w:val="22"/>
          <w:szCs w:val="22"/>
          <w:lang w:val="mk-MK" w:eastAsia="en-US"/>
        </w:rPr>
        <w:t>• Се обидува</w:t>
      </w:r>
      <w:r>
        <w:rPr>
          <w:rFonts w:ascii="Calibri" w:eastAsia="Calibri" w:hAnsi="Calibri"/>
          <w:sz w:val="22"/>
          <w:szCs w:val="22"/>
          <w:lang w:val="mk-MK" w:eastAsia="en-US"/>
        </w:rPr>
        <w:t>ат</w:t>
      </w:r>
      <w:r w:rsidRPr="006B07C0">
        <w:rPr>
          <w:rFonts w:ascii="Calibri" w:eastAsia="Calibri" w:hAnsi="Calibri"/>
          <w:sz w:val="22"/>
          <w:szCs w:val="22"/>
          <w:lang w:val="mk-MK" w:eastAsia="en-US"/>
        </w:rPr>
        <w:t xml:space="preserve"> да г</w:t>
      </w:r>
      <w:r>
        <w:rPr>
          <w:rFonts w:ascii="Calibri" w:eastAsia="Calibri" w:hAnsi="Calibri"/>
          <w:sz w:val="22"/>
          <w:szCs w:val="22"/>
          <w:lang w:val="mk-MK" w:eastAsia="en-US"/>
        </w:rPr>
        <w:t>и одвратат</w:t>
      </w:r>
      <w:r w:rsidRPr="006B07C0">
        <w:rPr>
          <w:rFonts w:ascii="Calibri" w:eastAsia="Calibri" w:hAnsi="Calibri"/>
          <w:sz w:val="22"/>
          <w:szCs w:val="22"/>
          <w:lang w:val="mk-MK" w:eastAsia="en-US"/>
        </w:rPr>
        <w:t xml:space="preserve"> инспектори</w:t>
      </w:r>
      <w:r>
        <w:rPr>
          <w:rFonts w:ascii="Calibri" w:eastAsia="Calibri" w:hAnsi="Calibri"/>
          <w:sz w:val="22"/>
          <w:szCs w:val="22"/>
          <w:lang w:val="mk-MK" w:eastAsia="en-US"/>
        </w:rPr>
        <w:t>те</w:t>
      </w:r>
      <w:r w:rsidRPr="006B07C0">
        <w:rPr>
          <w:rFonts w:ascii="Calibri" w:eastAsia="Calibri" w:hAnsi="Calibri"/>
          <w:sz w:val="22"/>
          <w:szCs w:val="22"/>
          <w:lang w:val="mk-MK" w:eastAsia="en-US"/>
        </w:rPr>
        <w:t xml:space="preserve"> од посета на "тешки" места како што се на пример области каде што о</w:t>
      </w:r>
      <w:r>
        <w:rPr>
          <w:rFonts w:ascii="Calibri" w:eastAsia="Calibri" w:hAnsi="Calibri"/>
          <w:sz w:val="22"/>
          <w:szCs w:val="22"/>
          <w:lang w:val="mk-MK" w:eastAsia="en-US"/>
        </w:rPr>
        <w:t>тпадот е несоодветно поставена.</w:t>
      </w:r>
    </w:p>
    <w:p w14:paraId="11F0D64C" w14:textId="77777777" w:rsidR="00ED0444" w:rsidRPr="006B07C0" w:rsidRDefault="00ED0444" w:rsidP="00ED0444">
      <w:pPr>
        <w:pStyle w:val="ListDash1"/>
        <w:numPr>
          <w:ilvl w:val="0"/>
          <w:numId w:val="0"/>
        </w:numPr>
        <w:spacing w:after="0"/>
        <w:ind w:left="420"/>
        <w:rPr>
          <w:rFonts w:ascii="Calibri" w:eastAsia="Calibri" w:hAnsi="Calibri"/>
          <w:sz w:val="22"/>
          <w:szCs w:val="22"/>
          <w:lang w:val="mk-MK" w:eastAsia="en-US"/>
        </w:rPr>
      </w:pPr>
    </w:p>
    <w:p w14:paraId="5F59EA10" w14:textId="77777777" w:rsidR="00ED0444" w:rsidRPr="006B07C0" w:rsidRDefault="00ED0444" w:rsidP="00ED0444">
      <w:pPr>
        <w:pStyle w:val="ListDash1"/>
        <w:numPr>
          <w:ilvl w:val="0"/>
          <w:numId w:val="0"/>
        </w:numPr>
        <w:spacing w:before="0" w:after="0" w:line="276" w:lineRule="auto"/>
        <w:rPr>
          <w:rFonts w:ascii="Calibri" w:eastAsia="Calibri" w:hAnsi="Calibri"/>
          <w:sz w:val="22"/>
          <w:szCs w:val="22"/>
          <w:lang w:val="mk-MK" w:eastAsia="en-US"/>
        </w:rPr>
      </w:pPr>
      <w:r>
        <w:rPr>
          <w:rFonts w:ascii="Calibri" w:eastAsia="Calibri" w:hAnsi="Calibri"/>
          <w:sz w:val="22"/>
          <w:szCs w:val="22"/>
          <w:lang w:val="mk-MK" w:eastAsia="en-US"/>
        </w:rPr>
        <w:t>М</w:t>
      </w:r>
      <w:r w:rsidRPr="006B07C0">
        <w:rPr>
          <w:rFonts w:ascii="Calibri" w:eastAsia="Calibri" w:hAnsi="Calibri"/>
          <w:sz w:val="22"/>
          <w:szCs w:val="22"/>
          <w:lang w:val="mk-MK" w:eastAsia="en-US"/>
        </w:rPr>
        <w:t xml:space="preserve">ора да се има на ум дека  опструкција од страна на оператор се смета за прекршок. </w:t>
      </w:r>
    </w:p>
    <w:p w14:paraId="5408A0B7" w14:textId="77777777" w:rsidR="00ED0444" w:rsidRPr="00ED0444" w:rsidRDefault="00ED0444" w:rsidP="00ED0444">
      <w:pPr>
        <w:pStyle w:val="ListParagraph"/>
        <w:rPr>
          <w:lang w:val="mk-MK"/>
        </w:rPr>
      </w:pPr>
    </w:p>
    <w:p w14:paraId="561A4868" w14:textId="77777777" w:rsidR="0068028B" w:rsidRPr="005D62D4" w:rsidRDefault="0068028B" w:rsidP="0068028B">
      <w:pPr>
        <w:pStyle w:val="Heading2"/>
        <w:numPr>
          <w:ilvl w:val="1"/>
          <w:numId w:val="2"/>
        </w:numPr>
        <w:rPr>
          <w:lang w:val="ro-RO"/>
        </w:rPr>
      </w:pPr>
      <w:bookmarkStart w:id="147" w:name="_Toc440385282"/>
      <w:bookmarkStart w:id="148" w:name="_Toc444009864"/>
      <w:r w:rsidRPr="005D62D4">
        <w:rPr>
          <w:lang w:val="mk-MK"/>
        </w:rPr>
        <w:lastRenderedPageBreak/>
        <w:t>После инспекцијата</w:t>
      </w:r>
      <w:bookmarkEnd w:id="147"/>
      <w:bookmarkEnd w:id="148"/>
    </w:p>
    <w:p w14:paraId="4958A39C" w14:textId="77777777" w:rsidR="0068028B" w:rsidRPr="00B171D7" w:rsidRDefault="0068028B" w:rsidP="0068028B">
      <w:pPr>
        <w:pStyle w:val="Heading3"/>
        <w:numPr>
          <w:ilvl w:val="2"/>
          <w:numId w:val="2"/>
        </w:numPr>
        <w:rPr>
          <w:lang w:val="ro-RO"/>
        </w:rPr>
      </w:pPr>
      <w:bookmarkStart w:id="149" w:name="_Toc440385283"/>
      <w:bookmarkStart w:id="150" w:name="_Toc444009865"/>
      <w:r w:rsidRPr="00B171D7">
        <w:rPr>
          <w:lang w:val="mk-MK"/>
        </w:rPr>
        <w:t>Инспекциски извештај</w:t>
      </w:r>
      <w:bookmarkEnd w:id="149"/>
      <w:bookmarkEnd w:id="150"/>
    </w:p>
    <w:p w14:paraId="68896BBD" w14:textId="77777777" w:rsidR="0068028B" w:rsidRPr="005D62D4" w:rsidRDefault="0068028B" w:rsidP="0068028B">
      <w:pPr>
        <w:rPr>
          <w:lang w:val="mk-MK"/>
        </w:rPr>
      </w:pPr>
      <w:r w:rsidRPr="005D62D4">
        <w:rPr>
          <w:lang w:val="mk-MK"/>
        </w:rPr>
        <w:t>По извршениот инспекциски надзор, во согласност со најдобрите практики на ЕУ, инспекторот треба да го подготви финалниот извештај за инспекцијата. Примерот/образецот за таков извештај се изработува во рамките на овој твининг проект и е достапен на веб-сајтот на ДИЖС (види Анекс 1 за повеќе информации). Главните содржини на таков извештај се следниве:</w:t>
      </w:r>
    </w:p>
    <w:p w14:paraId="7AF72A37" w14:textId="77777777" w:rsidR="0068028B" w:rsidRPr="005D62D4" w:rsidRDefault="0068028B" w:rsidP="005748BE">
      <w:pPr>
        <w:numPr>
          <w:ilvl w:val="0"/>
          <w:numId w:val="12"/>
        </w:numPr>
        <w:rPr>
          <w:u w:val="single"/>
          <w:lang w:val="mk-MK"/>
        </w:rPr>
      </w:pPr>
      <w:r w:rsidRPr="005D62D4">
        <w:rPr>
          <w:u w:val="single"/>
          <w:lang w:val="mk-MK"/>
        </w:rPr>
        <w:t>Основни параметри за инспекцијата</w:t>
      </w:r>
    </w:p>
    <w:p w14:paraId="771B8A25" w14:textId="77777777" w:rsidR="0068028B" w:rsidRPr="005D62D4" w:rsidRDefault="0068028B" w:rsidP="005748BE">
      <w:pPr>
        <w:numPr>
          <w:ilvl w:val="0"/>
          <w:numId w:val="13"/>
        </w:numPr>
        <w:rPr>
          <w:lang w:val="mk-MK"/>
        </w:rPr>
      </w:pPr>
      <w:r w:rsidRPr="005D62D4">
        <w:rPr>
          <w:lang w:val="mk-MK"/>
        </w:rPr>
        <w:t>Основа на инспекцијата (дозвола, законските прописи)</w:t>
      </w:r>
    </w:p>
    <w:p w14:paraId="768FAB8B" w14:textId="77777777" w:rsidR="0068028B" w:rsidRPr="005D62D4" w:rsidRDefault="0068028B" w:rsidP="005748BE">
      <w:pPr>
        <w:numPr>
          <w:ilvl w:val="0"/>
          <w:numId w:val="13"/>
        </w:numPr>
        <w:rPr>
          <w:lang w:val="mk-MK"/>
        </w:rPr>
      </w:pPr>
      <w:r w:rsidRPr="005D62D4">
        <w:rPr>
          <w:lang w:val="mk-MK"/>
        </w:rPr>
        <w:t>Надлежните инспекциски органи, соработка со инспекциски органи</w:t>
      </w:r>
    </w:p>
    <w:p w14:paraId="00B4E850" w14:textId="77777777" w:rsidR="0068028B" w:rsidRPr="005D62D4" w:rsidRDefault="0068028B" w:rsidP="005748BE">
      <w:pPr>
        <w:numPr>
          <w:ilvl w:val="0"/>
          <w:numId w:val="13"/>
        </w:numPr>
        <w:rPr>
          <w:lang w:val="mk-MK"/>
        </w:rPr>
      </w:pPr>
      <w:r w:rsidRPr="005D62D4">
        <w:rPr>
          <w:lang w:val="mk-MK"/>
        </w:rPr>
        <w:t>Вид на инсталација (на пр. Фабрика за гипс, кланица, производство на месо )</w:t>
      </w:r>
    </w:p>
    <w:p w14:paraId="3740FF6F" w14:textId="77777777" w:rsidR="0068028B" w:rsidRPr="005D62D4" w:rsidRDefault="0068028B" w:rsidP="005748BE">
      <w:pPr>
        <w:numPr>
          <w:ilvl w:val="0"/>
          <w:numId w:val="13"/>
        </w:numPr>
        <w:rPr>
          <w:lang w:val="mk-MK"/>
        </w:rPr>
      </w:pPr>
      <w:r w:rsidRPr="005D62D4">
        <w:rPr>
          <w:lang w:val="mk-MK"/>
        </w:rPr>
        <w:t>Оператор (Име на компанијата)</w:t>
      </w:r>
    </w:p>
    <w:p w14:paraId="53940BE8" w14:textId="77777777" w:rsidR="0068028B" w:rsidRPr="005D62D4" w:rsidRDefault="0068028B" w:rsidP="005748BE">
      <w:pPr>
        <w:numPr>
          <w:ilvl w:val="0"/>
          <w:numId w:val="13"/>
        </w:numPr>
        <w:rPr>
          <w:lang w:val="mk-MK"/>
        </w:rPr>
      </w:pPr>
      <w:r w:rsidRPr="005D62D4">
        <w:rPr>
          <w:lang w:val="mk-MK"/>
        </w:rPr>
        <w:t>адреса</w:t>
      </w:r>
    </w:p>
    <w:p w14:paraId="7199ACA1" w14:textId="77777777" w:rsidR="0068028B" w:rsidRPr="005D62D4" w:rsidRDefault="0068028B" w:rsidP="005748BE">
      <w:pPr>
        <w:numPr>
          <w:ilvl w:val="0"/>
          <w:numId w:val="13"/>
        </w:numPr>
        <w:rPr>
          <w:lang w:val="mk-MK"/>
        </w:rPr>
      </w:pPr>
      <w:r w:rsidRPr="005D62D4">
        <w:rPr>
          <w:lang w:val="mk-MK"/>
        </w:rPr>
        <w:t>Датум на инспекција</w:t>
      </w:r>
    </w:p>
    <w:p w14:paraId="2F80852A" w14:textId="77777777" w:rsidR="0068028B" w:rsidRPr="005D62D4" w:rsidRDefault="0068028B" w:rsidP="005748BE">
      <w:pPr>
        <w:numPr>
          <w:ilvl w:val="0"/>
          <w:numId w:val="13"/>
        </w:numPr>
        <w:rPr>
          <w:lang w:val="mk-MK"/>
        </w:rPr>
      </w:pPr>
      <w:r w:rsidRPr="005D62D4">
        <w:rPr>
          <w:lang w:val="mk-MK"/>
        </w:rPr>
        <w:t>Траење на инспекција</w:t>
      </w:r>
    </w:p>
    <w:p w14:paraId="70816CA7" w14:textId="77777777" w:rsidR="0068028B" w:rsidRPr="005D62D4" w:rsidRDefault="0068028B" w:rsidP="005748BE">
      <w:pPr>
        <w:numPr>
          <w:ilvl w:val="0"/>
          <w:numId w:val="13"/>
        </w:numPr>
        <w:rPr>
          <w:lang w:val="mk-MK"/>
        </w:rPr>
      </w:pPr>
      <w:r w:rsidRPr="005D62D4">
        <w:rPr>
          <w:lang w:val="mk-MK"/>
        </w:rPr>
        <w:t>Предмет на инспекција (пр. Интегрирана дозвола,  медиумите кои биле проверени, делови од инсталацијата што се инспектирани)</w:t>
      </w:r>
    </w:p>
    <w:p w14:paraId="30323F0D" w14:textId="77777777" w:rsidR="0068028B" w:rsidRPr="005D62D4" w:rsidRDefault="0068028B" w:rsidP="005748BE">
      <w:pPr>
        <w:numPr>
          <w:ilvl w:val="0"/>
          <w:numId w:val="13"/>
        </w:numPr>
        <w:rPr>
          <w:lang w:val="mk-MK"/>
        </w:rPr>
      </w:pPr>
      <w:r w:rsidRPr="005D62D4">
        <w:rPr>
          <w:lang w:val="mk-MK"/>
        </w:rPr>
        <w:t>Вид на инспекциски надзор (редовен, вонреден, контрола)</w:t>
      </w:r>
    </w:p>
    <w:p w14:paraId="12A99D48" w14:textId="77777777" w:rsidR="0068028B" w:rsidRPr="005D62D4" w:rsidRDefault="0068028B" w:rsidP="0068028B">
      <w:pPr>
        <w:ind w:firstLine="708"/>
        <w:rPr>
          <w:u w:val="single"/>
          <w:lang w:val="mk-MK"/>
        </w:rPr>
      </w:pPr>
      <w:r w:rsidRPr="005D62D4">
        <w:rPr>
          <w:u w:val="single"/>
          <w:lang w:val="mk-MK"/>
        </w:rPr>
        <w:t>2. Резултатите од инспекцијата</w:t>
      </w:r>
    </w:p>
    <w:p w14:paraId="1003988B" w14:textId="77777777" w:rsidR="0068028B" w:rsidRPr="005D62D4" w:rsidRDefault="0068028B" w:rsidP="005748BE">
      <w:pPr>
        <w:numPr>
          <w:ilvl w:val="0"/>
          <w:numId w:val="13"/>
        </w:numPr>
        <w:rPr>
          <w:lang w:val="mk-MK"/>
        </w:rPr>
      </w:pPr>
      <w:r w:rsidRPr="005D62D4">
        <w:rPr>
          <w:lang w:val="mk-MK"/>
        </w:rPr>
        <w:t>Немање или само мали нерегуларности</w:t>
      </w:r>
    </w:p>
    <w:p w14:paraId="74FFC79D" w14:textId="77777777" w:rsidR="0068028B" w:rsidRPr="005D62D4" w:rsidRDefault="0068028B" w:rsidP="005748BE">
      <w:pPr>
        <w:numPr>
          <w:ilvl w:val="0"/>
          <w:numId w:val="13"/>
        </w:numPr>
        <w:rPr>
          <w:lang w:val="mk-MK"/>
        </w:rPr>
      </w:pPr>
      <w:r w:rsidRPr="005D62D4">
        <w:rPr>
          <w:lang w:val="mk-MK"/>
        </w:rPr>
        <w:t>Значителни или релевантни неусогласености</w:t>
      </w:r>
    </w:p>
    <w:p w14:paraId="1399B7F1" w14:textId="77777777" w:rsidR="0068028B" w:rsidRPr="005D62D4" w:rsidRDefault="0068028B" w:rsidP="005748BE">
      <w:pPr>
        <w:numPr>
          <w:ilvl w:val="0"/>
          <w:numId w:val="13"/>
        </w:numPr>
        <w:rPr>
          <w:lang w:val="mk-MK"/>
        </w:rPr>
      </w:pPr>
      <w:r w:rsidRPr="005D62D4">
        <w:rPr>
          <w:lang w:val="mk-MK"/>
        </w:rPr>
        <w:t>Сериозни или важни неусогласености</w:t>
      </w:r>
    </w:p>
    <w:p w14:paraId="0B324D3B" w14:textId="77777777" w:rsidR="0068028B" w:rsidRPr="005D62D4" w:rsidRDefault="0068028B" w:rsidP="0068028B">
      <w:pPr>
        <w:ind w:firstLine="708"/>
        <w:rPr>
          <w:u w:val="single"/>
          <w:lang w:val="mk-MK"/>
        </w:rPr>
      </w:pPr>
      <w:r w:rsidRPr="005D62D4">
        <w:rPr>
          <w:u w:val="single"/>
          <w:lang w:val="mk-MK"/>
        </w:rPr>
        <w:t xml:space="preserve">3. Препорачани корективни мерки </w:t>
      </w:r>
    </w:p>
    <w:p w14:paraId="23C97826" w14:textId="77777777" w:rsidR="0068028B" w:rsidRPr="005D62D4" w:rsidRDefault="0068028B" w:rsidP="005748BE">
      <w:pPr>
        <w:numPr>
          <w:ilvl w:val="0"/>
          <w:numId w:val="14"/>
        </w:numPr>
        <w:rPr>
          <w:lang w:val="mk-MK"/>
        </w:rPr>
      </w:pPr>
      <w:r w:rsidRPr="005D62D4">
        <w:rPr>
          <w:lang w:val="mk-MK"/>
        </w:rPr>
        <w:t>Мали корективни мерки</w:t>
      </w:r>
    </w:p>
    <w:p w14:paraId="031307A0" w14:textId="77777777" w:rsidR="0068028B" w:rsidRPr="005D62D4" w:rsidRDefault="0068028B" w:rsidP="005748BE">
      <w:pPr>
        <w:numPr>
          <w:ilvl w:val="0"/>
          <w:numId w:val="14"/>
        </w:numPr>
        <w:rPr>
          <w:lang w:val="mk-MK"/>
        </w:rPr>
      </w:pPr>
      <w:r w:rsidRPr="005D62D4">
        <w:rPr>
          <w:lang w:val="mk-MK"/>
        </w:rPr>
        <w:t>Значителни или релевантни корективни мерки</w:t>
      </w:r>
    </w:p>
    <w:p w14:paraId="0C1832FC" w14:textId="77777777" w:rsidR="0068028B" w:rsidRDefault="0068028B" w:rsidP="005748BE">
      <w:pPr>
        <w:numPr>
          <w:ilvl w:val="0"/>
          <w:numId w:val="14"/>
        </w:numPr>
        <w:rPr>
          <w:lang w:val="mk-MK"/>
        </w:rPr>
      </w:pPr>
      <w:r w:rsidRPr="005D62D4">
        <w:rPr>
          <w:lang w:val="mk-MK"/>
        </w:rPr>
        <w:t>Сериозни или важни корективни мерки</w:t>
      </w:r>
    </w:p>
    <w:p w14:paraId="1768A752" w14:textId="77777777" w:rsidR="0068028B" w:rsidRPr="005D62D4" w:rsidRDefault="0068028B" w:rsidP="0068028B">
      <w:pPr>
        <w:rPr>
          <w:lang w:val="mk-MK"/>
        </w:rPr>
      </w:pPr>
    </w:p>
    <w:p w14:paraId="22EBA712" w14:textId="77777777" w:rsidR="0068028B" w:rsidRPr="0068028B" w:rsidRDefault="0068028B" w:rsidP="0068028B">
      <w:pPr>
        <w:pStyle w:val="Heading3"/>
        <w:numPr>
          <w:ilvl w:val="2"/>
          <w:numId w:val="2"/>
        </w:numPr>
        <w:rPr>
          <w:lang w:val="ro-RO"/>
        </w:rPr>
      </w:pPr>
      <w:bookmarkStart w:id="151" w:name="_Toc440385284"/>
      <w:bookmarkStart w:id="152" w:name="_Toc444009866"/>
      <w:r w:rsidRPr="00B171D7">
        <w:rPr>
          <w:lang w:val="mk-MK"/>
        </w:rPr>
        <w:lastRenderedPageBreak/>
        <w:t>Инспекциски снимки /записи</w:t>
      </w:r>
      <w:bookmarkEnd w:id="151"/>
      <w:bookmarkEnd w:id="152"/>
      <w:r w:rsidRPr="00B171D7">
        <w:rPr>
          <w:lang w:val="mk-MK"/>
        </w:rPr>
        <w:t xml:space="preserve"> </w:t>
      </w:r>
    </w:p>
    <w:p w14:paraId="08B9D264" w14:textId="45751FDA" w:rsidR="00B16C23" w:rsidRPr="0068028B" w:rsidRDefault="0068028B" w:rsidP="0068028B">
      <w:pPr>
        <w:pStyle w:val="Heading3"/>
        <w:rPr>
          <w:rFonts w:eastAsia="Calibri"/>
          <w:b w:val="0"/>
          <w:bCs w:val="0"/>
          <w:sz w:val="22"/>
          <w:szCs w:val="22"/>
          <w:lang w:val="mk-MK"/>
        </w:rPr>
      </w:pPr>
      <w:bookmarkStart w:id="153" w:name="_Toc444009867"/>
      <w:r w:rsidRPr="0068028B">
        <w:rPr>
          <w:rFonts w:eastAsia="Calibri"/>
          <w:b w:val="0"/>
          <w:bCs w:val="0"/>
          <w:sz w:val="22"/>
          <w:szCs w:val="22"/>
          <w:lang w:val="mk-MK"/>
        </w:rPr>
        <w:t>Извештајот од инспекцијат и сите други дополнителни материјал кои се користат за подготовка на инспекцијата мора да се чуваат и да се достапни за сите релевантни органи за нивна информација</w:t>
      </w:r>
      <w:r w:rsidR="00B16C04" w:rsidRPr="0068028B">
        <w:rPr>
          <w:rFonts w:eastAsia="Calibri"/>
          <w:b w:val="0"/>
          <w:bCs w:val="0"/>
          <w:sz w:val="22"/>
          <w:szCs w:val="22"/>
          <w:lang w:val="mk-MK"/>
        </w:rPr>
        <w:t>.</w:t>
      </w:r>
      <w:bookmarkEnd w:id="153"/>
    </w:p>
    <w:p w14:paraId="5BC8EC04" w14:textId="77777777" w:rsidR="00B16C23" w:rsidRPr="00E65B62" w:rsidRDefault="00B16C23" w:rsidP="00B16C23">
      <w:pPr>
        <w:rPr>
          <w:lang w:val="ro-RO"/>
        </w:rPr>
      </w:pPr>
    </w:p>
    <w:p w14:paraId="46133D4E" w14:textId="77777777" w:rsidR="00B16C23" w:rsidRPr="0068028B" w:rsidRDefault="00B16C04" w:rsidP="00B16C23">
      <w:pPr>
        <w:rPr>
          <w:lang w:val="ro-RO"/>
        </w:rPr>
      </w:pPr>
      <w:r w:rsidRPr="0068028B">
        <w:rPr>
          <w:lang w:val="ro-RO"/>
        </w:rPr>
        <w:br w:type="page"/>
      </w:r>
    </w:p>
    <w:p w14:paraId="6B23A9BB" w14:textId="77777777" w:rsidR="00B16C23" w:rsidRPr="00917355" w:rsidRDefault="00B16C23" w:rsidP="005748BE">
      <w:pPr>
        <w:pStyle w:val="ListParagraph"/>
        <w:keepNext/>
        <w:numPr>
          <w:ilvl w:val="0"/>
          <w:numId w:val="9"/>
        </w:numPr>
        <w:spacing w:before="240" w:after="60" w:line="276" w:lineRule="auto"/>
        <w:contextualSpacing w:val="0"/>
        <w:jc w:val="both"/>
        <w:outlineLvl w:val="1"/>
        <w:rPr>
          <w:rFonts w:eastAsia="Times New Roman"/>
          <w:b/>
          <w:bCs/>
          <w:i/>
          <w:iCs/>
          <w:vanish/>
          <w:color w:val="1F4E79"/>
          <w:sz w:val="32"/>
          <w:szCs w:val="28"/>
          <w:lang w:val="ro-RO"/>
        </w:rPr>
      </w:pPr>
      <w:bookmarkStart w:id="154" w:name="_Toc429394565"/>
      <w:bookmarkStart w:id="155" w:name="_Toc429394980"/>
      <w:bookmarkStart w:id="156" w:name="_Toc429502017"/>
      <w:bookmarkStart w:id="157" w:name="_Toc438141090"/>
      <w:bookmarkStart w:id="158" w:name="_Toc438142985"/>
      <w:bookmarkStart w:id="159" w:name="_Toc438216330"/>
      <w:bookmarkStart w:id="160" w:name="_Toc440477025"/>
      <w:bookmarkStart w:id="161" w:name="_Toc440899908"/>
      <w:bookmarkStart w:id="162" w:name="_Toc440978690"/>
      <w:bookmarkStart w:id="163" w:name="_Toc444009868"/>
      <w:bookmarkEnd w:id="154"/>
      <w:bookmarkEnd w:id="155"/>
      <w:bookmarkEnd w:id="156"/>
      <w:bookmarkEnd w:id="157"/>
      <w:bookmarkEnd w:id="158"/>
      <w:bookmarkEnd w:id="159"/>
      <w:bookmarkEnd w:id="160"/>
      <w:bookmarkEnd w:id="161"/>
      <w:bookmarkEnd w:id="162"/>
      <w:bookmarkEnd w:id="163"/>
    </w:p>
    <w:p w14:paraId="52336750" w14:textId="77777777" w:rsidR="00B16C23" w:rsidRPr="00623485" w:rsidRDefault="00B16C04" w:rsidP="00B16C23">
      <w:pPr>
        <w:pStyle w:val="Heading1"/>
        <w:rPr>
          <w:lang w:val="ro-RO"/>
        </w:rPr>
      </w:pPr>
      <w:bookmarkStart w:id="164" w:name="_Toc444009869"/>
      <w:r>
        <w:rPr>
          <w:rFonts w:eastAsia="Calibri" w:cs="Calibri"/>
          <w:iCs/>
          <w:szCs w:val="40"/>
          <w:bdr w:val="nil"/>
          <w:lang w:val="mk-MK" w:bidi="mk-MK"/>
        </w:rPr>
        <w:t>Анекс 1: Корисни референтни документи и линкови</w:t>
      </w:r>
      <w:bookmarkEnd w:id="164"/>
      <w:r>
        <w:rPr>
          <w:rFonts w:eastAsia="Calibri" w:cs="Calibri"/>
          <w:iCs/>
          <w:szCs w:val="40"/>
          <w:bdr w:val="nil"/>
          <w:lang w:val="mk-MK" w:bidi="mk-MK"/>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048"/>
      </w:tblGrid>
      <w:tr w:rsidR="00E029FF" w14:paraId="6686B0F1" w14:textId="77777777" w:rsidTr="00623485">
        <w:tc>
          <w:tcPr>
            <w:tcW w:w="5240" w:type="dxa"/>
            <w:shd w:val="clear" w:color="auto" w:fill="1F4E79"/>
          </w:tcPr>
          <w:p w14:paraId="190F55FC" w14:textId="77777777" w:rsidR="00B16C23" w:rsidRPr="00B20149" w:rsidRDefault="00B16C04" w:rsidP="00B16C23">
            <w:pPr>
              <w:rPr>
                <w:b/>
                <w:color w:val="FFFFFF"/>
              </w:rPr>
            </w:pPr>
            <w:r>
              <w:rPr>
                <w:rFonts w:cs="Calibri"/>
                <w:b/>
                <w:bCs/>
                <w:color w:val="FFFFFF"/>
                <w:bdr w:val="nil"/>
                <w:lang w:val="mk-MK" w:bidi="mk-MK"/>
              </w:rPr>
              <w:t xml:space="preserve">Документ / информација </w:t>
            </w:r>
          </w:p>
        </w:tc>
        <w:tc>
          <w:tcPr>
            <w:tcW w:w="4048" w:type="dxa"/>
            <w:shd w:val="clear" w:color="auto" w:fill="1F4E79"/>
          </w:tcPr>
          <w:p w14:paraId="7C6269ED" w14:textId="77777777" w:rsidR="00B16C23" w:rsidRPr="00B20149" w:rsidRDefault="00B16C04" w:rsidP="00B16C23">
            <w:pPr>
              <w:rPr>
                <w:b/>
                <w:color w:val="FFFFFF"/>
              </w:rPr>
            </w:pPr>
            <w:r>
              <w:rPr>
                <w:rFonts w:cs="Calibri"/>
                <w:b/>
                <w:bCs/>
                <w:color w:val="FFFFFF"/>
                <w:bdr w:val="nil"/>
                <w:lang w:val="mk-MK" w:bidi="mk-MK"/>
              </w:rPr>
              <w:t xml:space="preserve">Линк </w:t>
            </w:r>
          </w:p>
        </w:tc>
      </w:tr>
      <w:tr w:rsidR="00E029FF" w14:paraId="703810AD" w14:textId="77777777" w:rsidTr="00623485">
        <w:tc>
          <w:tcPr>
            <w:tcW w:w="5240" w:type="dxa"/>
            <w:shd w:val="clear" w:color="auto" w:fill="auto"/>
          </w:tcPr>
          <w:p w14:paraId="583EF387" w14:textId="4126E6DE" w:rsidR="00B16C23" w:rsidRDefault="00B16C04" w:rsidP="0085774D">
            <w:pPr>
              <w:spacing w:after="120"/>
              <w:jc w:val="left"/>
            </w:pPr>
            <w:r>
              <w:rPr>
                <w:rFonts w:cs="Calibri"/>
                <w:bdr w:val="nil"/>
                <w:lang w:val="mk-MK" w:bidi="mk-MK"/>
              </w:rPr>
              <w:t>Интернет страница</w:t>
            </w:r>
            <w:r w:rsidR="0085774D">
              <w:rPr>
                <w:rFonts w:cs="Calibri"/>
                <w:bdr w:val="nil"/>
                <w:lang w:val="mk-MK" w:bidi="mk-MK"/>
              </w:rPr>
              <w:t xml:space="preserve"> на Држав</w:t>
            </w:r>
            <w:r>
              <w:rPr>
                <w:rFonts w:cs="Calibri"/>
                <w:bdr w:val="nil"/>
                <w:lang w:val="mk-MK" w:bidi="mk-MK"/>
              </w:rPr>
              <w:t>н</w:t>
            </w:r>
            <w:r w:rsidR="0085774D">
              <w:rPr>
                <w:rFonts w:cs="Calibri"/>
                <w:bdr w:val="nil"/>
                <w:lang w:val="mk-MK" w:bidi="mk-MK"/>
              </w:rPr>
              <w:t>иот</w:t>
            </w:r>
            <w:r>
              <w:rPr>
                <w:rFonts w:cs="Calibri"/>
                <w:bdr w:val="nil"/>
                <w:lang w:val="mk-MK" w:bidi="mk-MK"/>
              </w:rPr>
              <w:t xml:space="preserve"> инспекторат за животна средина, со корисни материјали, меѓу кои Прирачникот за инспекција, листите на податоци и листите за проверка </w:t>
            </w:r>
          </w:p>
        </w:tc>
        <w:tc>
          <w:tcPr>
            <w:tcW w:w="4048" w:type="dxa"/>
            <w:shd w:val="clear" w:color="auto" w:fill="auto"/>
          </w:tcPr>
          <w:p w14:paraId="0211640E" w14:textId="77777777" w:rsidR="00B16C23" w:rsidRDefault="00AB34B7" w:rsidP="00B16C23">
            <w:pPr>
              <w:spacing w:after="120"/>
            </w:pPr>
            <w:hyperlink r:id="rId15" w:history="1">
              <w:r w:rsidR="00B16C04">
                <w:rPr>
                  <w:rFonts w:cs="Calibri"/>
                  <w:color w:val="0000FF"/>
                  <w:u w:val="single"/>
                  <w:bdr w:val="nil"/>
                  <w:lang w:val="mk-MK" w:bidi="mk-MK"/>
                </w:rPr>
                <w:t>www.sei.gov.mk</w:t>
              </w:r>
            </w:hyperlink>
          </w:p>
        </w:tc>
      </w:tr>
      <w:tr w:rsidR="00E029FF" w14:paraId="5CC5E05B" w14:textId="77777777" w:rsidTr="00623485">
        <w:tc>
          <w:tcPr>
            <w:tcW w:w="5240" w:type="dxa"/>
            <w:shd w:val="clear" w:color="auto" w:fill="auto"/>
          </w:tcPr>
          <w:p w14:paraId="31E4A168" w14:textId="4B241EFD" w:rsidR="00B16C23" w:rsidRDefault="003528C6" w:rsidP="00B16C23">
            <w:pPr>
              <w:pStyle w:val="NoSpacing"/>
              <w:spacing w:after="120"/>
            </w:pPr>
            <w:r>
              <w:rPr>
                <w:rFonts w:cs="Calibri"/>
                <w:bdr w:val="nil"/>
                <w:lang w:val="mk-MK" w:bidi="mk-MK"/>
              </w:rPr>
              <w:t xml:space="preserve">БРЕФ </w:t>
            </w:r>
            <w:r w:rsidR="00B16C04">
              <w:rPr>
                <w:rFonts w:cs="Calibri"/>
                <w:bdr w:val="nil"/>
                <w:lang w:val="mk-MK" w:bidi="mk-MK"/>
              </w:rPr>
              <w:t xml:space="preserve">за големи постројки за согорување </w:t>
            </w:r>
          </w:p>
          <w:p w14:paraId="2B10D432" w14:textId="77777777" w:rsidR="00B16C23" w:rsidRDefault="00B16C04" w:rsidP="00B16C23">
            <w:pPr>
              <w:pStyle w:val="NoSpacing"/>
              <w:spacing w:after="120"/>
            </w:pPr>
            <w:r>
              <w:rPr>
                <w:rFonts w:cs="Calibri"/>
                <w:bdr w:val="nil"/>
                <w:lang w:val="mk-MK" w:bidi="mk-MK"/>
              </w:rPr>
              <w:t xml:space="preserve">Заедничкиот истражувачки центар во Севилја, Нацрт 1, јуни 2013 </w:t>
            </w:r>
          </w:p>
        </w:tc>
        <w:tc>
          <w:tcPr>
            <w:tcW w:w="4048" w:type="dxa"/>
            <w:shd w:val="clear" w:color="auto" w:fill="auto"/>
          </w:tcPr>
          <w:p w14:paraId="3FA94B98" w14:textId="77777777" w:rsidR="00B16C23" w:rsidRDefault="00AB34B7" w:rsidP="00B16C23">
            <w:pPr>
              <w:spacing w:after="120"/>
            </w:pPr>
            <w:hyperlink r:id="rId16" w:history="1">
              <w:r w:rsidR="00B16C04">
                <w:rPr>
                  <w:rFonts w:cs="Calibri"/>
                  <w:color w:val="0000FF"/>
                  <w:u w:val="single"/>
                  <w:bdr w:val="nil"/>
                  <w:lang w:val="mk-MK" w:bidi="mk-MK"/>
                </w:rPr>
                <w:t>http://eippcb.jrc.ec.europa.eu/reference/</w:t>
              </w:r>
            </w:hyperlink>
            <w:r w:rsidR="00B16C04">
              <w:rPr>
                <w:rFonts w:cs="Calibri"/>
                <w:bdr w:val="nil"/>
                <w:lang w:val="mk-MK" w:bidi="mk-MK"/>
              </w:rPr>
              <w:t xml:space="preserve"> </w:t>
            </w:r>
          </w:p>
        </w:tc>
      </w:tr>
      <w:tr w:rsidR="00E029FF" w14:paraId="2AA494B5" w14:textId="77777777" w:rsidTr="00623485">
        <w:tc>
          <w:tcPr>
            <w:tcW w:w="5240" w:type="dxa"/>
            <w:shd w:val="clear" w:color="auto" w:fill="auto"/>
          </w:tcPr>
          <w:p w14:paraId="2E3CF09B" w14:textId="141339A3" w:rsidR="00B16C23" w:rsidRDefault="003528C6" w:rsidP="00B16C23">
            <w:pPr>
              <w:pStyle w:val="NoSpacing"/>
              <w:spacing w:after="120"/>
            </w:pPr>
            <w:r>
              <w:rPr>
                <w:rFonts w:cs="Calibri"/>
                <w:bdr w:val="nil"/>
                <w:lang w:val="mk-MK" w:bidi="mk-MK"/>
              </w:rPr>
              <w:t xml:space="preserve">БРЕФ </w:t>
            </w:r>
            <w:r w:rsidR="00B16C04">
              <w:rPr>
                <w:rFonts w:cs="Calibri"/>
                <w:bdr w:val="nil"/>
                <w:lang w:val="mk-MK" w:bidi="mk-MK"/>
              </w:rPr>
              <w:t>за енергетската ефикасност, февруари 2009</w:t>
            </w:r>
          </w:p>
        </w:tc>
        <w:tc>
          <w:tcPr>
            <w:tcW w:w="4048" w:type="dxa"/>
            <w:shd w:val="clear" w:color="auto" w:fill="auto"/>
          </w:tcPr>
          <w:p w14:paraId="72E73336" w14:textId="77777777" w:rsidR="00B16C23" w:rsidRDefault="00AB34B7" w:rsidP="00B16C23">
            <w:pPr>
              <w:spacing w:after="120"/>
            </w:pPr>
            <w:hyperlink r:id="rId17" w:history="1">
              <w:r w:rsidR="00B16C04">
                <w:rPr>
                  <w:rFonts w:cs="Calibri"/>
                  <w:color w:val="0000FF"/>
                  <w:u w:val="single"/>
                  <w:bdr w:val="nil"/>
                  <w:lang w:val="mk-MK" w:bidi="mk-MK"/>
                </w:rPr>
                <w:t>http://eippcb.jrc.ec.europa.eu/reference/</w:t>
              </w:r>
            </w:hyperlink>
            <w:r w:rsidR="00B16C04">
              <w:rPr>
                <w:rFonts w:cs="Calibri"/>
                <w:bdr w:val="nil"/>
                <w:lang w:val="mk-MK" w:bidi="mk-MK"/>
              </w:rPr>
              <w:t xml:space="preserve"> </w:t>
            </w:r>
          </w:p>
        </w:tc>
      </w:tr>
      <w:tr w:rsidR="00E029FF" w14:paraId="49501A54" w14:textId="77777777" w:rsidTr="00623485">
        <w:tc>
          <w:tcPr>
            <w:tcW w:w="5240" w:type="dxa"/>
            <w:shd w:val="clear" w:color="auto" w:fill="auto"/>
          </w:tcPr>
          <w:p w14:paraId="06E9A16C" w14:textId="7617D2E4" w:rsidR="00B16C23" w:rsidRPr="00AB48C9" w:rsidRDefault="003528C6" w:rsidP="00B16C23">
            <w:pPr>
              <w:pStyle w:val="NoSpacing"/>
              <w:spacing w:after="120"/>
            </w:pPr>
            <w:r>
              <w:rPr>
                <w:rFonts w:cs="Calibri"/>
                <w:bdr w:val="nil"/>
                <w:lang w:val="mk-MK" w:bidi="mk-MK"/>
              </w:rPr>
              <w:t xml:space="preserve">БРЕФ </w:t>
            </w:r>
            <w:r w:rsidR="00B16C04">
              <w:rPr>
                <w:rFonts w:cs="Calibri"/>
                <w:bdr w:val="nil"/>
                <w:lang w:val="mk-MK" w:bidi="mk-MK"/>
              </w:rPr>
              <w:t xml:space="preserve">за складирање, јули 2006 </w:t>
            </w:r>
          </w:p>
        </w:tc>
        <w:tc>
          <w:tcPr>
            <w:tcW w:w="4048" w:type="dxa"/>
            <w:shd w:val="clear" w:color="auto" w:fill="auto"/>
          </w:tcPr>
          <w:p w14:paraId="4BE27284" w14:textId="77777777" w:rsidR="00B16C23" w:rsidRDefault="00AB34B7" w:rsidP="00B16C23">
            <w:pPr>
              <w:spacing w:after="120"/>
            </w:pPr>
            <w:hyperlink r:id="rId18" w:history="1">
              <w:r w:rsidR="00B16C04">
                <w:rPr>
                  <w:rFonts w:cs="Calibri"/>
                  <w:color w:val="0000FF"/>
                  <w:u w:val="single"/>
                  <w:bdr w:val="nil"/>
                  <w:lang w:val="mk-MK" w:bidi="mk-MK"/>
                </w:rPr>
                <w:t>http://eippcb.jrc.ec.europa.eu/reference/</w:t>
              </w:r>
            </w:hyperlink>
          </w:p>
        </w:tc>
      </w:tr>
      <w:tr w:rsidR="00E029FF" w14:paraId="0A19D5E8" w14:textId="77777777" w:rsidTr="00623485">
        <w:tc>
          <w:tcPr>
            <w:tcW w:w="5240" w:type="dxa"/>
            <w:shd w:val="clear" w:color="auto" w:fill="auto"/>
          </w:tcPr>
          <w:p w14:paraId="210EE355" w14:textId="77F76996" w:rsidR="00B16C23" w:rsidRPr="00AB48C9" w:rsidRDefault="003528C6" w:rsidP="00B16C23">
            <w:pPr>
              <w:pStyle w:val="NoSpacing"/>
              <w:spacing w:after="120"/>
            </w:pPr>
            <w:r>
              <w:rPr>
                <w:rFonts w:cs="Calibri"/>
                <w:bdr w:val="nil"/>
                <w:lang w:val="mk-MK" w:bidi="mk-MK"/>
              </w:rPr>
              <w:t xml:space="preserve">БРЕФ </w:t>
            </w:r>
            <w:r w:rsidR="00B16C04">
              <w:rPr>
                <w:rFonts w:cs="Calibri"/>
                <w:bdr w:val="nil"/>
                <w:lang w:val="mk-MK" w:bidi="mk-MK"/>
              </w:rPr>
              <w:t xml:space="preserve">за индустријата за третман на отпадот, август 2006 </w:t>
            </w:r>
          </w:p>
        </w:tc>
        <w:tc>
          <w:tcPr>
            <w:tcW w:w="4048" w:type="dxa"/>
            <w:shd w:val="clear" w:color="auto" w:fill="auto"/>
          </w:tcPr>
          <w:p w14:paraId="5333ED0C" w14:textId="77777777" w:rsidR="00B16C23" w:rsidRDefault="00AB34B7" w:rsidP="00B16C23">
            <w:pPr>
              <w:spacing w:after="120"/>
            </w:pPr>
            <w:hyperlink r:id="rId19" w:history="1">
              <w:r w:rsidR="00B16C04">
                <w:rPr>
                  <w:rFonts w:cs="Calibri"/>
                  <w:color w:val="0000FF"/>
                  <w:u w:val="single"/>
                  <w:bdr w:val="nil"/>
                  <w:lang w:val="mk-MK" w:bidi="mk-MK"/>
                </w:rPr>
                <w:t>http://eippcb.jrc.ec.europa.eu/reference/</w:t>
              </w:r>
            </w:hyperlink>
            <w:r w:rsidR="00B16C04">
              <w:rPr>
                <w:rFonts w:cs="Calibri"/>
                <w:bdr w:val="nil"/>
                <w:lang w:val="mk-MK" w:bidi="mk-MK"/>
              </w:rPr>
              <w:t xml:space="preserve"> </w:t>
            </w:r>
          </w:p>
        </w:tc>
      </w:tr>
      <w:tr w:rsidR="00E029FF" w14:paraId="0869BD0A" w14:textId="77777777" w:rsidTr="00623485">
        <w:tc>
          <w:tcPr>
            <w:tcW w:w="5240" w:type="dxa"/>
            <w:shd w:val="clear" w:color="auto" w:fill="auto"/>
          </w:tcPr>
          <w:p w14:paraId="1C2FD204" w14:textId="3F776255" w:rsidR="00B16C23" w:rsidRDefault="00B16C04" w:rsidP="00B16C23">
            <w:pPr>
              <w:pStyle w:val="NoSpacing"/>
              <w:spacing w:after="120"/>
            </w:pPr>
            <w:r>
              <w:rPr>
                <w:rFonts w:cs="Calibri"/>
                <w:bdr w:val="nil"/>
                <w:lang w:val="mk-MK" w:bidi="mk-MK"/>
              </w:rPr>
              <w:t>Референтен до</w:t>
            </w:r>
            <w:r w:rsidR="007F6116">
              <w:rPr>
                <w:rFonts w:cs="Calibri"/>
                <w:bdr w:val="nil"/>
                <w:lang w:val="mk-MK" w:bidi="mk-MK"/>
              </w:rPr>
              <w:t>кумент за економик</w:t>
            </w:r>
            <w:r>
              <w:rPr>
                <w:rFonts w:cs="Calibri"/>
                <w:bdr w:val="nil"/>
                <w:lang w:val="mk-MK" w:bidi="mk-MK"/>
              </w:rPr>
              <w:t>а и ефектите врз различни медиуми, јули 2006</w:t>
            </w:r>
          </w:p>
        </w:tc>
        <w:tc>
          <w:tcPr>
            <w:tcW w:w="4048" w:type="dxa"/>
            <w:shd w:val="clear" w:color="auto" w:fill="auto"/>
          </w:tcPr>
          <w:p w14:paraId="7198A7C9" w14:textId="77777777" w:rsidR="00B16C23" w:rsidRDefault="00AB34B7" w:rsidP="00B16C23">
            <w:pPr>
              <w:spacing w:after="120"/>
            </w:pPr>
            <w:hyperlink r:id="rId20" w:history="1">
              <w:r w:rsidR="00B16C04">
                <w:rPr>
                  <w:rFonts w:cs="Calibri"/>
                  <w:color w:val="0000FF"/>
                  <w:u w:val="single"/>
                  <w:bdr w:val="nil"/>
                  <w:lang w:val="mk-MK" w:bidi="mk-MK"/>
                </w:rPr>
                <w:t>http://eippcb.jrc.ec.europa.eu/reference/</w:t>
              </w:r>
            </w:hyperlink>
            <w:r w:rsidR="00B16C04">
              <w:rPr>
                <w:rFonts w:cs="Calibri"/>
                <w:bdr w:val="nil"/>
                <w:lang w:val="mk-MK" w:bidi="mk-MK"/>
              </w:rPr>
              <w:t xml:space="preserve"> </w:t>
            </w:r>
          </w:p>
        </w:tc>
      </w:tr>
      <w:tr w:rsidR="00E029FF" w14:paraId="3F67957E" w14:textId="77777777" w:rsidTr="00623485">
        <w:tc>
          <w:tcPr>
            <w:tcW w:w="5240" w:type="dxa"/>
            <w:shd w:val="clear" w:color="auto" w:fill="auto"/>
          </w:tcPr>
          <w:p w14:paraId="5B85D537" w14:textId="082EE719" w:rsidR="00B16C23" w:rsidRDefault="003528C6" w:rsidP="00B16C23">
            <w:pPr>
              <w:pStyle w:val="NoSpacing"/>
              <w:spacing w:after="120"/>
            </w:pPr>
            <w:r>
              <w:rPr>
                <w:rFonts w:cs="Calibri"/>
                <w:bdr w:val="nil"/>
                <w:lang w:val="mk-MK" w:bidi="mk-MK"/>
              </w:rPr>
              <w:t>Ре</w:t>
            </w:r>
            <w:r w:rsidR="00B16C04">
              <w:rPr>
                <w:rFonts w:cs="Calibri"/>
                <w:bdr w:val="nil"/>
                <w:lang w:val="mk-MK" w:bidi="mk-MK"/>
              </w:rPr>
              <w:t>фе</w:t>
            </w:r>
            <w:r>
              <w:rPr>
                <w:rFonts w:cs="Calibri"/>
                <w:bdr w:val="nil"/>
                <w:lang w:val="mk-MK" w:bidi="mk-MK"/>
              </w:rPr>
              <w:t>ре</w:t>
            </w:r>
            <w:r w:rsidR="00B16C04">
              <w:rPr>
                <w:rFonts w:cs="Calibri"/>
                <w:bdr w:val="nil"/>
                <w:lang w:val="mk-MK" w:bidi="mk-MK"/>
              </w:rPr>
              <w:t xml:space="preserve">нтен извештај на Центарот за заеднички истражувања  за мониторинг на емисии од инсталации кои подлежат на Директивата за индустриски емисии </w:t>
            </w:r>
          </w:p>
          <w:p w14:paraId="38517BBE" w14:textId="79F6EFD6" w:rsidR="00B16C23" w:rsidRDefault="00B16C04" w:rsidP="007F6116">
            <w:pPr>
              <w:pStyle w:val="NoSpacing"/>
              <w:spacing w:after="120"/>
            </w:pPr>
            <w:r>
              <w:rPr>
                <w:rFonts w:cs="Calibri"/>
                <w:bdr w:val="nil"/>
                <w:lang w:val="mk-MK" w:bidi="mk-MK"/>
              </w:rPr>
              <w:t>Директива за индустриски емисии 2010/75/</w:t>
            </w:r>
            <w:r w:rsidR="007F6116">
              <w:rPr>
                <w:rFonts w:cs="Calibri"/>
                <w:bdr w:val="nil"/>
                <w:lang w:val="mk-MK" w:bidi="mk-MK"/>
              </w:rPr>
              <w:t>ЕУ</w:t>
            </w:r>
            <w:r>
              <w:rPr>
                <w:rFonts w:cs="Calibri"/>
                <w:bdr w:val="nil"/>
                <w:lang w:val="mk-MK" w:bidi="mk-MK"/>
              </w:rPr>
              <w:t xml:space="preserve"> Заедничкиот истражувачки центар, последен нацрт текст, октомври 2013 </w:t>
            </w:r>
            <w:r>
              <w:rPr>
                <w:rFonts w:cs="Calibri"/>
                <w:bdr w:val="nil"/>
                <w:lang w:val="mk-MK" w:bidi="mk-MK"/>
              </w:rPr>
              <w:br w:type="page"/>
            </w:r>
          </w:p>
        </w:tc>
        <w:tc>
          <w:tcPr>
            <w:tcW w:w="4048" w:type="dxa"/>
            <w:shd w:val="clear" w:color="auto" w:fill="auto"/>
          </w:tcPr>
          <w:p w14:paraId="2904FCEB" w14:textId="77777777" w:rsidR="00B16C23" w:rsidRDefault="00AB34B7" w:rsidP="00B16C23">
            <w:pPr>
              <w:spacing w:after="120"/>
            </w:pPr>
            <w:hyperlink r:id="rId21" w:history="1">
              <w:r w:rsidR="00B16C04">
                <w:rPr>
                  <w:rFonts w:cs="Calibri"/>
                  <w:color w:val="0000FF"/>
                  <w:u w:val="single"/>
                  <w:bdr w:val="nil"/>
                  <w:lang w:val="mk-MK" w:bidi="mk-MK"/>
                </w:rPr>
                <w:t>http://eippcb.jrc.ec.europa.eu/reference/</w:t>
              </w:r>
            </w:hyperlink>
            <w:r w:rsidR="00B16C04">
              <w:rPr>
                <w:rFonts w:cs="Calibri"/>
                <w:bdr w:val="nil"/>
                <w:lang w:val="mk-MK" w:bidi="mk-MK"/>
              </w:rPr>
              <w:t xml:space="preserve"> </w:t>
            </w:r>
          </w:p>
        </w:tc>
      </w:tr>
    </w:tbl>
    <w:p w14:paraId="03DEDF9D" w14:textId="77777777" w:rsidR="00B16C23" w:rsidRDefault="00B16C23" w:rsidP="00B16C23"/>
    <w:p w14:paraId="18353F89" w14:textId="77777777" w:rsidR="00B16C23" w:rsidRDefault="00B16C23" w:rsidP="00B16C23">
      <w:pPr>
        <w:pStyle w:val="NoSpacing"/>
      </w:pPr>
    </w:p>
    <w:p w14:paraId="4DD338C5" w14:textId="77777777" w:rsidR="00B16C23" w:rsidRDefault="00B16C23" w:rsidP="00B16C23">
      <w:pPr>
        <w:pStyle w:val="NoSpacing"/>
      </w:pPr>
    </w:p>
    <w:p w14:paraId="3B35BAC7" w14:textId="77777777" w:rsidR="00B16C23" w:rsidRDefault="00B16C23" w:rsidP="00B16C23">
      <w:pPr>
        <w:pStyle w:val="NoSpacing"/>
      </w:pPr>
    </w:p>
    <w:p w14:paraId="174B3CA3" w14:textId="77777777" w:rsidR="00B16C23" w:rsidRDefault="00B16C23" w:rsidP="00B16C23">
      <w:pPr>
        <w:pStyle w:val="NoSpacing"/>
      </w:pPr>
    </w:p>
    <w:p w14:paraId="3C61F29C" w14:textId="77777777" w:rsidR="00B16C23" w:rsidRDefault="00B16C23" w:rsidP="00B16C23">
      <w:pPr>
        <w:pStyle w:val="NoSpacing"/>
      </w:pPr>
    </w:p>
    <w:p w14:paraId="14A529C2" w14:textId="77777777" w:rsidR="00B16C23" w:rsidRDefault="00B16C04">
      <w:pPr>
        <w:spacing w:after="0" w:line="240" w:lineRule="auto"/>
        <w:jc w:val="left"/>
        <w:rPr>
          <w:rFonts w:eastAsia="Times New Roman"/>
          <w:b/>
          <w:bCs/>
          <w:i/>
          <w:color w:val="1F4E79"/>
          <w:kern w:val="32"/>
          <w:sz w:val="40"/>
          <w:szCs w:val="32"/>
        </w:rPr>
      </w:pPr>
      <w:bookmarkStart w:id="165" w:name="_Toc437524097"/>
      <w:r>
        <w:br w:type="page"/>
      </w:r>
    </w:p>
    <w:p w14:paraId="257E3008" w14:textId="77777777" w:rsidR="00A705C8" w:rsidRPr="005D62D4" w:rsidRDefault="00A705C8" w:rsidP="00A705C8">
      <w:pPr>
        <w:pStyle w:val="Heading1"/>
        <w:rPr>
          <w:lang w:val="mk-MK"/>
        </w:rPr>
      </w:pPr>
      <w:bookmarkStart w:id="166" w:name="_Toc438839318"/>
      <w:bookmarkStart w:id="167" w:name="_Toc440385286"/>
      <w:bookmarkStart w:id="168" w:name="_Toc444009870"/>
      <w:bookmarkEnd w:id="165"/>
      <w:r w:rsidRPr="005D62D4">
        <w:rPr>
          <w:lang w:val="mk-MK"/>
        </w:rPr>
        <w:lastRenderedPageBreak/>
        <w:t>Анекс 2: Образец за инспекциски распоред/агенда</w:t>
      </w:r>
      <w:bookmarkEnd w:id="166"/>
      <w:bookmarkEnd w:id="167"/>
      <w:bookmarkEnd w:id="168"/>
    </w:p>
    <w:p w14:paraId="750575C6" w14:textId="77777777" w:rsidR="00A705C8" w:rsidRPr="005D62D4" w:rsidRDefault="00A705C8" w:rsidP="00A705C8">
      <w:pPr>
        <w:rPr>
          <w:lang w:val="mk-MK"/>
        </w:rPr>
      </w:pPr>
    </w:p>
    <w:p w14:paraId="6D842915" w14:textId="77777777" w:rsidR="00A705C8" w:rsidRPr="005D62D4" w:rsidRDefault="00A705C8" w:rsidP="00A705C8">
      <w:pPr>
        <w:pStyle w:val="lineadopotitolo"/>
        <w:spacing w:line="480" w:lineRule="auto"/>
        <w:rPr>
          <w:rFonts w:ascii="Calibri" w:hAnsi="Calibri"/>
          <w:b/>
          <w:color w:val="auto"/>
          <w:sz w:val="24"/>
          <w:szCs w:val="24"/>
        </w:rPr>
      </w:pPr>
      <w:r w:rsidRPr="005D62D4">
        <w:rPr>
          <w:rFonts w:ascii="Calibri" w:hAnsi="Calibri"/>
          <w:b/>
          <w:color w:val="auto"/>
          <w:sz w:val="24"/>
          <w:szCs w:val="24"/>
          <w:lang w:val="mk-MK"/>
        </w:rPr>
        <w:t>РАСПОРЕД/АГЕНДА ЗА ИНСПЕКЦИЈА</w:t>
      </w:r>
    </w:p>
    <w:p w14:paraId="02290A16" w14:textId="77777777" w:rsidR="00A705C8" w:rsidRPr="005D62D4" w:rsidRDefault="00A705C8" w:rsidP="00A705C8">
      <w:pPr>
        <w:pStyle w:val="Oggetto"/>
        <w:spacing w:before="0" w:after="0" w:line="480" w:lineRule="auto"/>
        <w:jc w:val="center"/>
        <w:rPr>
          <w:rFonts w:ascii="Calibri" w:hAnsi="Calibri"/>
          <w:i/>
          <w:color w:val="FF0000"/>
        </w:rPr>
      </w:pPr>
      <w:r w:rsidRPr="005D62D4">
        <w:rPr>
          <w:rFonts w:ascii="Calibri" w:hAnsi="Calibri"/>
          <w:i/>
          <w:color w:val="FF0000"/>
          <w:lang w:val="mk-MK"/>
        </w:rPr>
        <w:t>Име на компанијата</w:t>
      </w:r>
    </w:p>
    <w:p w14:paraId="7B74A06A" w14:textId="77777777" w:rsidR="00A705C8" w:rsidRPr="005D62D4" w:rsidRDefault="00A705C8" w:rsidP="00A705C8">
      <w:pPr>
        <w:pStyle w:val="Oggetto"/>
        <w:spacing w:before="0" w:after="0" w:line="480" w:lineRule="auto"/>
        <w:jc w:val="center"/>
        <w:rPr>
          <w:rFonts w:ascii="Calibri" w:hAnsi="Calibri"/>
          <w:i/>
          <w:color w:val="FF0000"/>
        </w:rPr>
      </w:pPr>
      <w:r w:rsidRPr="005D62D4">
        <w:rPr>
          <w:rFonts w:ascii="Calibri" w:hAnsi="Calibri"/>
          <w:i/>
          <w:color w:val="FF0000"/>
          <w:lang w:val="mk-MK"/>
        </w:rPr>
        <w:t>Датум на инспекцијата</w:t>
      </w:r>
    </w:p>
    <w:p w14:paraId="443B0C14" w14:textId="77777777" w:rsidR="00A705C8" w:rsidRPr="005D62D4" w:rsidRDefault="00A705C8" w:rsidP="00A705C8">
      <w:pPr>
        <w:pStyle w:val="Oggetto"/>
        <w:spacing w:before="0" w:after="0" w:line="480" w:lineRule="auto"/>
        <w:jc w:val="center"/>
        <w:rPr>
          <w:rFonts w:ascii="Calibri" w:hAnsi="Calibri"/>
          <w:i/>
          <w:color w:val="FF0000"/>
        </w:rPr>
      </w:pPr>
      <w:r w:rsidRPr="005D62D4">
        <w:rPr>
          <w:rFonts w:ascii="Calibri" w:hAnsi="Calibri"/>
          <w:i/>
          <w:color w:val="FF0000"/>
          <w:lang w:val="mk-MK"/>
        </w:rPr>
        <w:t>Број на ИСКЗ А/Б дозвола</w:t>
      </w:r>
    </w:p>
    <w:p w14:paraId="284B38B4" w14:textId="77777777" w:rsidR="00A705C8" w:rsidRPr="005D62D4" w:rsidRDefault="00A705C8" w:rsidP="00A705C8">
      <w:pPr>
        <w:pStyle w:val="Normalelt"/>
        <w:jc w:val="both"/>
        <w:rPr>
          <w:rFonts w:ascii="Calibri" w:hAnsi="Calibri"/>
          <w:lang w:val="mk-MK"/>
        </w:rPr>
      </w:pPr>
      <w:r w:rsidRPr="005D62D4">
        <w:rPr>
          <w:rFonts w:ascii="Calibri" w:hAnsi="Calibri"/>
          <w:lang w:val="mk-MK"/>
        </w:rPr>
        <w:t>Овој Распоред/ Агенда за инспекција ги дефинира и ги планира активностите на самото место; го дефинира типот на испитувања што се спроведуваат (идентификација на клучните проблеми на животната средина) и како да се истражат дефинираните теми (административен или технички преглед преку непосреден увид на објектот). Дневниот ред се доставува до членовите на тимот за инспекција и операторот во текот на претходната средба/состанок.</w:t>
      </w:r>
    </w:p>
    <w:p w14:paraId="68CB1845" w14:textId="77777777" w:rsidR="00A705C8" w:rsidRPr="005D62D4" w:rsidRDefault="00A705C8" w:rsidP="00A705C8">
      <w:pPr>
        <w:rPr>
          <w:rFonts w:cs="Arial"/>
          <w:b/>
          <w:bCs/>
          <w:i/>
          <w:lang w:val="mk-MK"/>
        </w:rPr>
      </w:pPr>
    </w:p>
    <w:p w14:paraId="526F08D3" w14:textId="77777777" w:rsidR="00A705C8" w:rsidRPr="005D62D4" w:rsidRDefault="00A705C8" w:rsidP="00A705C8">
      <w:pPr>
        <w:rPr>
          <w:rFonts w:cs="Arial"/>
          <w:b/>
          <w:bCs/>
          <w:i/>
          <w:lang w:val="mk-MK"/>
        </w:rPr>
      </w:pPr>
      <w:r w:rsidRPr="005D62D4">
        <w:rPr>
          <w:rFonts w:cs="Arial"/>
          <w:b/>
          <w:bCs/>
          <w:i/>
          <w:lang w:val="mk-MK"/>
        </w:rPr>
        <w:t>Состав на Инспекциската Група</w:t>
      </w:r>
    </w:p>
    <w:p w14:paraId="08B266DD" w14:textId="77777777" w:rsidR="00A705C8" w:rsidRPr="005D62D4" w:rsidRDefault="00A705C8" w:rsidP="00A705C8">
      <w:pPr>
        <w:pStyle w:val="Normalelt"/>
        <w:rPr>
          <w:rFonts w:ascii="Calibri" w:hAnsi="Calibri"/>
          <w:lang w:val="mk-MK"/>
        </w:rPr>
      </w:pPr>
      <w:r w:rsidRPr="005D62D4">
        <w:rPr>
          <w:rFonts w:ascii="Calibri" w:hAnsi="Calibri"/>
          <w:lang w:val="mk-MK"/>
        </w:rPr>
        <w:t>Инспекциската Група (ИГ) е сочинета од следниве службени технички лица :</w:t>
      </w:r>
    </w:p>
    <w:p w14:paraId="3F20E874" w14:textId="77777777" w:rsidR="00A705C8" w:rsidRPr="005D62D4" w:rsidRDefault="00A705C8" w:rsidP="00A705C8">
      <w:pPr>
        <w:pStyle w:val="Normalelt"/>
        <w:spacing w:before="80" w:after="80"/>
        <w:rPr>
          <w:rFonts w:ascii="Calibri" w:hAnsi="Calibri"/>
          <w:lang w:val="mk-MK"/>
        </w:rPr>
      </w:pPr>
      <w:r w:rsidRPr="005D62D4">
        <w:rPr>
          <w:rFonts w:ascii="Calibri" w:hAnsi="Calibri"/>
          <w:i/>
          <w:color w:val="FF0000"/>
          <w:lang w:val="mk-MK"/>
        </w:rPr>
        <w:t>Име –Јавна администрација</w:t>
      </w:r>
      <w:r w:rsidRPr="005D62D4">
        <w:rPr>
          <w:rFonts w:ascii="Calibri" w:hAnsi="Calibri"/>
          <w:lang w:val="mk-MK"/>
        </w:rPr>
        <w:t xml:space="preserve">  (Лидер на ИГ)</w:t>
      </w:r>
    </w:p>
    <w:p w14:paraId="6C827E82" w14:textId="77777777" w:rsidR="00A705C8" w:rsidRPr="005D62D4" w:rsidRDefault="00A705C8" w:rsidP="00A705C8">
      <w:pPr>
        <w:pStyle w:val="Normalelt"/>
        <w:spacing w:before="80" w:after="80"/>
        <w:rPr>
          <w:rFonts w:ascii="Calibri" w:hAnsi="Calibri"/>
          <w:i/>
          <w:color w:val="FF0000"/>
          <w:lang w:val="mk-MK"/>
        </w:rPr>
      </w:pPr>
      <w:r w:rsidRPr="005D62D4">
        <w:rPr>
          <w:rFonts w:ascii="Calibri" w:hAnsi="Calibri"/>
          <w:i/>
          <w:color w:val="FF0000"/>
          <w:lang w:val="mk-MK"/>
        </w:rPr>
        <w:t xml:space="preserve">Име –Јавна Администрација </w:t>
      </w:r>
    </w:p>
    <w:p w14:paraId="653C2F4B" w14:textId="77777777" w:rsidR="00A705C8" w:rsidRPr="005D62D4" w:rsidRDefault="00A705C8" w:rsidP="00A705C8">
      <w:pPr>
        <w:pStyle w:val="Normalelt"/>
        <w:spacing w:before="80" w:after="80"/>
        <w:rPr>
          <w:rFonts w:ascii="Calibri" w:hAnsi="Calibri"/>
          <w:lang w:val="mk-MK"/>
        </w:rPr>
      </w:pPr>
      <w:r w:rsidRPr="005D62D4">
        <w:rPr>
          <w:rFonts w:ascii="Calibri" w:hAnsi="Calibri"/>
          <w:lang w:val="mk-MK"/>
        </w:rPr>
        <w:t>xxx</w:t>
      </w:r>
    </w:p>
    <w:p w14:paraId="50EF4A01" w14:textId="77777777" w:rsidR="00A705C8" w:rsidRPr="005D62D4" w:rsidRDefault="00A705C8" w:rsidP="00A705C8">
      <w:pPr>
        <w:pStyle w:val="Normalelt"/>
        <w:spacing w:before="80" w:after="80"/>
        <w:rPr>
          <w:rFonts w:ascii="Calibri" w:hAnsi="Calibri"/>
          <w:lang w:val="mk-MK"/>
        </w:rPr>
      </w:pPr>
      <w:r w:rsidRPr="005D62D4">
        <w:rPr>
          <w:rFonts w:ascii="Calibri" w:hAnsi="Calibri"/>
          <w:lang w:val="mk-MK"/>
        </w:rPr>
        <w:t>xxx</w:t>
      </w:r>
    </w:p>
    <w:p w14:paraId="06F6E893" w14:textId="77777777" w:rsidR="00A705C8" w:rsidRPr="005D62D4" w:rsidRDefault="00A705C8" w:rsidP="00A705C8">
      <w:pPr>
        <w:pStyle w:val="Normalelt"/>
        <w:jc w:val="both"/>
        <w:rPr>
          <w:rFonts w:ascii="Calibri" w:hAnsi="Calibri"/>
          <w:b/>
          <w:bCs/>
          <w:kern w:val="32"/>
          <w:sz w:val="22"/>
          <w:szCs w:val="22"/>
          <w:lang w:val="mk-MK"/>
        </w:rPr>
      </w:pPr>
    </w:p>
    <w:p w14:paraId="49450B92" w14:textId="77777777" w:rsidR="00A705C8" w:rsidRPr="005D62D4" w:rsidRDefault="00A705C8" w:rsidP="00A705C8">
      <w:pPr>
        <w:pStyle w:val="Normalelt"/>
        <w:jc w:val="both"/>
        <w:rPr>
          <w:rFonts w:ascii="Calibri" w:hAnsi="Calibri"/>
          <w:b/>
          <w:bCs/>
          <w:kern w:val="32"/>
          <w:sz w:val="22"/>
          <w:szCs w:val="22"/>
          <w:lang w:val="mk-MK"/>
        </w:rPr>
      </w:pPr>
      <w:r w:rsidRPr="005D62D4">
        <w:rPr>
          <w:rFonts w:ascii="Calibri" w:hAnsi="Calibri"/>
          <w:b/>
          <w:bCs/>
          <w:kern w:val="32"/>
          <w:sz w:val="22"/>
          <w:szCs w:val="22"/>
          <w:lang w:val="mk-MK"/>
        </w:rPr>
        <w:t>Време и спроведување на инспекцијата</w:t>
      </w:r>
    </w:p>
    <w:p w14:paraId="78D9B468" w14:textId="77777777" w:rsidR="00A705C8" w:rsidRPr="005D62D4" w:rsidRDefault="00A705C8" w:rsidP="00A705C8">
      <w:pPr>
        <w:pStyle w:val="Normalelt"/>
        <w:jc w:val="both"/>
        <w:rPr>
          <w:rFonts w:ascii="Calibri" w:hAnsi="Calibri"/>
          <w:lang w:val="mk-MK"/>
        </w:rPr>
      </w:pPr>
      <w:r w:rsidRPr="005D62D4">
        <w:rPr>
          <w:rFonts w:ascii="Calibri" w:hAnsi="Calibri"/>
          <w:lang w:val="mk-MK"/>
        </w:rPr>
        <w:t>Инспекцијата ќе се спроведува во согласност со следнава програма:</w:t>
      </w:r>
    </w:p>
    <w:p w14:paraId="52EAE7DA" w14:textId="77777777" w:rsidR="00A705C8" w:rsidRPr="005D62D4" w:rsidRDefault="00A705C8" w:rsidP="00A705C8">
      <w:pPr>
        <w:pStyle w:val="Normalelt"/>
        <w:jc w:val="center"/>
        <w:rPr>
          <w:rFonts w:ascii="Calibri" w:hAnsi="Calibri"/>
          <w:b/>
          <w:i/>
          <w:color w:val="FF0000"/>
          <w:lang w:val="mk-MK"/>
        </w:rPr>
      </w:pPr>
      <w:r w:rsidRPr="005D62D4">
        <w:rPr>
          <w:rFonts w:ascii="Calibri" w:hAnsi="Calibri"/>
          <w:b/>
          <w:i/>
          <w:color w:val="FF0000"/>
          <w:lang w:val="mk-MK"/>
        </w:rPr>
        <w:t>Ден</w:t>
      </w:r>
      <w:r w:rsidRPr="005D62D4">
        <w:rPr>
          <w:rFonts w:ascii="Calibri" w:hAnsi="Calibri"/>
          <w:b/>
          <w:i/>
          <w:color w:val="FF0000"/>
          <w:lang w:val="en-US"/>
        </w:rPr>
        <w:t>/</w:t>
      </w:r>
      <w:r w:rsidRPr="005D62D4">
        <w:rPr>
          <w:rFonts w:ascii="Calibri" w:hAnsi="Calibri"/>
          <w:b/>
          <w:i/>
          <w:color w:val="FF0000"/>
          <w:lang w:val="mk-MK"/>
        </w:rPr>
        <w:t>месец</w:t>
      </w:r>
      <w:r w:rsidRPr="005D62D4">
        <w:rPr>
          <w:rFonts w:ascii="Calibri" w:hAnsi="Calibri"/>
          <w:b/>
          <w:i/>
          <w:color w:val="FF0000"/>
          <w:lang w:val="en-US"/>
        </w:rPr>
        <w:t>/</w:t>
      </w:r>
      <w:r w:rsidRPr="005D62D4">
        <w:rPr>
          <w:rFonts w:ascii="Calibri" w:hAnsi="Calibri"/>
          <w:b/>
          <w:i/>
          <w:color w:val="FF0000"/>
          <w:lang w:val="mk-MK"/>
        </w:rPr>
        <w:t>година</w:t>
      </w:r>
    </w:p>
    <w:tbl>
      <w:tblPr>
        <w:tblW w:w="5000" w:type="pct"/>
        <w:tblBorders>
          <w:top w:val="single" w:sz="4" w:space="0" w:color="000000"/>
          <w:bottom w:val="single" w:sz="4" w:space="0" w:color="000000"/>
          <w:insideH w:val="dotted" w:sz="4" w:space="0" w:color="auto"/>
        </w:tblBorders>
        <w:tblLook w:val="04A0" w:firstRow="1" w:lastRow="0" w:firstColumn="1" w:lastColumn="0" w:noHBand="0" w:noVBand="1"/>
      </w:tblPr>
      <w:tblGrid>
        <w:gridCol w:w="1270"/>
        <w:gridCol w:w="1819"/>
        <w:gridCol w:w="346"/>
        <w:gridCol w:w="2175"/>
        <w:gridCol w:w="741"/>
        <w:gridCol w:w="2937"/>
      </w:tblGrid>
      <w:tr w:rsidR="00A705C8" w:rsidRPr="005D62D4" w14:paraId="4E96CF75" w14:textId="77777777" w:rsidTr="003005BD">
        <w:trPr>
          <w:trHeight w:val="510"/>
        </w:trPr>
        <w:tc>
          <w:tcPr>
            <w:tcW w:w="684" w:type="pct"/>
            <w:tcBorders>
              <w:top w:val="dotted" w:sz="4" w:space="0" w:color="auto"/>
              <w:bottom w:val="single" w:sz="4" w:space="0" w:color="000000"/>
            </w:tcBorders>
            <w:vAlign w:val="center"/>
          </w:tcPr>
          <w:p w14:paraId="18CD6998" w14:textId="77777777" w:rsidR="00A705C8" w:rsidRPr="005D62D4" w:rsidRDefault="00A705C8" w:rsidP="003005BD">
            <w:pPr>
              <w:pStyle w:val="Normalelt"/>
              <w:spacing w:before="60" w:after="60" w:line="240" w:lineRule="auto"/>
              <w:jc w:val="center"/>
              <w:rPr>
                <w:rFonts w:ascii="Calibri" w:hAnsi="Calibri"/>
                <w:b/>
                <w:sz w:val="16"/>
                <w:szCs w:val="16"/>
                <w:lang w:val="en-US"/>
              </w:rPr>
            </w:pPr>
          </w:p>
        </w:tc>
        <w:tc>
          <w:tcPr>
            <w:tcW w:w="1165" w:type="pct"/>
            <w:gridSpan w:val="2"/>
            <w:tcBorders>
              <w:top w:val="dotted" w:sz="4" w:space="0" w:color="auto"/>
              <w:bottom w:val="single" w:sz="4" w:space="0" w:color="000000"/>
            </w:tcBorders>
            <w:vAlign w:val="center"/>
          </w:tcPr>
          <w:p w14:paraId="1B58A611" w14:textId="77777777" w:rsidR="00A705C8" w:rsidRPr="005D62D4" w:rsidRDefault="00A705C8" w:rsidP="003005BD">
            <w:pPr>
              <w:pStyle w:val="Normalelt"/>
              <w:spacing w:before="60" w:after="60" w:line="240" w:lineRule="auto"/>
              <w:jc w:val="center"/>
              <w:rPr>
                <w:rFonts w:ascii="Calibri" w:hAnsi="Calibri"/>
                <w:b/>
                <w:sz w:val="16"/>
                <w:szCs w:val="16"/>
                <w:lang w:val="mk-MK"/>
              </w:rPr>
            </w:pPr>
            <w:r w:rsidRPr="005D62D4">
              <w:rPr>
                <w:rFonts w:ascii="Calibri" w:hAnsi="Calibri"/>
                <w:b/>
                <w:sz w:val="16"/>
                <w:szCs w:val="16"/>
                <w:lang w:val="mk-MK"/>
              </w:rPr>
              <w:t>Предмет</w:t>
            </w:r>
          </w:p>
        </w:tc>
        <w:tc>
          <w:tcPr>
            <w:tcW w:w="1171" w:type="pct"/>
            <w:tcBorders>
              <w:top w:val="dotted" w:sz="4" w:space="0" w:color="auto"/>
              <w:bottom w:val="single" w:sz="4" w:space="0" w:color="000000"/>
            </w:tcBorders>
            <w:vAlign w:val="center"/>
          </w:tcPr>
          <w:p w14:paraId="32E79658" w14:textId="77777777" w:rsidR="00A705C8" w:rsidRPr="005D62D4" w:rsidRDefault="00A705C8" w:rsidP="003005BD">
            <w:pPr>
              <w:pStyle w:val="Normalelt"/>
              <w:spacing w:before="60" w:after="60" w:line="240" w:lineRule="auto"/>
              <w:jc w:val="center"/>
              <w:rPr>
                <w:rFonts w:ascii="Calibri" w:hAnsi="Calibri"/>
                <w:b/>
                <w:sz w:val="16"/>
                <w:szCs w:val="16"/>
                <w:lang w:val="mk-MK"/>
              </w:rPr>
            </w:pPr>
            <w:r w:rsidRPr="005D62D4">
              <w:rPr>
                <w:rFonts w:ascii="Calibri" w:hAnsi="Calibri"/>
                <w:b/>
                <w:sz w:val="16"/>
                <w:szCs w:val="16"/>
              </w:rPr>
              <w:t>A</w:t>
            </w:r>
            <w:r w:rsidRPr="005D62D4">
              <w:rPr>
                <w:rFonts w:ascii="Calibri" w:hAnsi="Calibri"/>
                <w:b/>
                <w:sz w:val="16"/>
                <w:szCs w:val="16"/>
                <w:lang w:val="mk-MK"/>
              </w:rPr>
              <w:t>ктивности</w:t>
            </w:r>
          </w:p>
        </w:tc>
        <w:tc>
          <w:tcPr>
            <w:tcW w:w="399" w:type="pct"/>
            <w:tcBorders>
              <w:top w:val="dotted" w:sz="4" w:space="0" w:color="auto"/>
              <w:bottom w:val="single" w:sz="4" w:space="0" w:color="000000"/>
            </w:tcBorders>
            <w:vAlign w:val="center"/>
          </w:tcPr>
          <w:p w14:paraId="797F8256" w14:textId="77777777" w:rsidR="00A705C8" w:rsidRPr="005D62D4" w:rsidRDefault="00A705C8" w:rsidP="003005BD">
            <w:pPr>
              <w:pStyle w:val="Normalelt"/>
              <w:spacing w:before="60" w:after="60" w:line="240" w:lineRule="auto"/>
              <w:jc w:val="center"/>
              <w:rPr>
                <w:rFonts w:ascii="Calibri" w:hAnsi="Calibri"/>
                <w:b/>
                <w:sz w:val="16"/>
                <w:szCs w:val="16"/>
                <w:lang w:val="mk-MK"/>
              </w:rPr>
            </w:pPr>
            <w:r w:rsidRPr="005D62D4">
              <w:rPr>
                <w:rFonts w:ascii="Calibri" w:hAnsi="Calibri"/>
                <w:b/>
                <w:sz w:val="16"/>
                <w:szCs w:val="16"/>
                <w:lang w:val="mk-MK"/>
              </w:rPr>
              <w:t>време</w:t>
            </w:r>
          </w:p>
        </w:tc>
        <w:tc>
          <w:tcPr>
            <w:tcW w:w="1581" w:type="pct"/>
            <w:tcBorders>
              <w:top w:val="dotted" w:sz="4" w:space="0" w:color="auto"/>
              <w:bottom w:val="single" w:sz="4" w:space="0" w:color="000000"/>
            </w:tcBorders>
            <w:vAlign w:val="center"/>
          </w:tcPr>
          <w:p w14:paraId="2BB80B50" w14:textId="77777777" w:rsidR="00A705C8" w:rsidRPr="005D62D4" w:rsidRDefault="00A705C8" w:rsidP="003005BD">
            <w:pPr>
              <w:pStyle w:val="Normalelt"/>
              <w:spacing w:before="60" w:after="60" w:line="240" w:lineRule="auto"/>
              <w:jc w:val="center"/>
              <w:rPr>
                <w:rFonts w:ascii="Calibri" w:hAnsi="Calibri"/>
                <w:b/>
                <w:sz w:val="16"/>
                <w:szCs w:val="16"/>
                <w:lang w:val="mk-MK"/>
              </w:rPr>
            </w:pPr>
            <w:r w:rsidRPr="005D62D4">
              <w:rPr>
                <w:rFonts w:ascii="Calibri" w:hAnsi="Calibri"/>
                <w:b/>
                <w:sz w:val="16"/>
                <w:szCs w:val="16"/>
                <w:lang w:val="mk-MK"/>
              </w:rPr>
              <w:t>Кој</w:t>
            </w:r>
            <w:r w:rsidRPr="005D62D4">
              <w:rPr>
                <w:rFonts w:ascii="Calibri" w:hAnsi="Calibri"/>
                <w:b/>
                <w:sz w:val="16"/>
                <w:szCs w:val="16"/>
              </w:rPr>
              <w:t xml:space="preserve"> / </w:t>
            </w:r>
            <w:r w:rsidRPr="005D62D4">
              <w:rPr>
                <w:rFonts w:ascii="Calibri" w:hAnsi="Calibri"/>
                <w:b/>
                <w:sz w:val="16"/>
                <w:szCs w:val="16"/>
                <w:lang w:val="mk-MK"/>
              </w:rPr>
              <w:t>Персонал</w:t>
            </w:r>
          </w:p>
        </w:tc>
      </w:tr>
      <w:tr w:rsidR="00A705C8" w:rsidRPr="0067462F" w14:paraId="2EE8C366" w14:textId="77777777" w:rsidTr="003005BD">
        <w:trPr>
          <w:trHeight w:val="737"/>
        </w:trPr>
        <w:tc>
          <w:tcPr>
            <w:tcW w:w="684" w:type="pct"/>
            <w:tcBorders>
              <w:top w:val="single" w:sz="4" w:space="0" w:color="000000"/>
              <w:bottom w:val="dotted" w:sz="4" w:space="0" w:color="auto"/>
            </w:tcBorders>
            <w:vAlign w:val="center"/>
          </w:tcPr>
          <w:p w14:paraId="0AA19BB7"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lang w:val="mk-MK"/>
              </w:rPr>
              <w:t>Чекор</w:t>
            </w:r>
            <w:r w:rsidRPr="005D62D4">
              <w:rPr>
                <w:rFonts w:ascii="Calibri" w:hAnsi="Calibri"/>
                <w:sz w:val="16"/>
                <w:szCs w:val="16"/>
              </w:rPr>
              <w:t xml:space="preserve"> 1</w:t>
            </w:r>
          </w:p>
        </w:tc>
        <w:tc>
          <w:tcPr>
            <w:tcW w:w="1165" w:type="pct"/>
            <w:gridSpan w:val="2"/>
            <w:tcBorders>
              <w:top w:val="single" w:sz="4" w:space="0" w:color="000000"/>
              <w:bottom w:val="dotted" w:sz="4" w:space="0" w:color="auto"/>
            </w:tcBorders>
            <w:vAlign w:val="center"/>
          </w:tcPr>
          <w:p w14:paraId="74DF77A5"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Прв состанок</w:t>
            </w:r>
          </w:p>
        </w:tc>
        <w:tc>
          <w:tcPr>
            <w:tcW w:w="1171" w:type="pct"/>
            <w:tcBorders>
              <w:top w:val="single" w:sz="4" w:space="0" w:color="000000"/>
              <w:bottom w:val="dotted" w:sz="4" w:space="0" w:color="auto"/>
            </w:tcBorders>
            <w:vAlign w:val="center"/>
          </w:tcPr>
          <w:p w14:paraId="3BFDEFAD"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Претставување на планот/агендата од страна на инспекцискиот тим</w:t>
            </w:r>
          </w:p>
          <w:p w14:paraId="17E087B5"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 xml:space="preserve">Претставување на актуелната состојба на постројката (производствени капацитети и план /проект за да се проверат точките од дозволата) од страна на </w:t>
            </w:r>
            <w:r w:rsidRPr="005D62D4">
              <w:rPr>
                <w:rFonts w:ascii="Calibri" w:hAnsi="Calibri"/>
                <w:sz w:val="16"/>
                <w:szCs w:val="16"/>
                <w:lang w:val="mk-MK"/>
              </w:rPr>
              <w:lastRenderedPageBreak/>
              <w:t>Операторот</w:t>
            </w:r>
          </w:p>
        </w:tc>
        <w:tc>
          <w:tcPr>
            <w:tcW w:w="399" w:type="pct"/>
            <w:tcBorders>
              <w:top w:val="single" w:sz="4" w:space="0" w:color="000000"/>
              <w:bottom w:val="dotted" w:sz="4" w:space="0" w:color="auto"/>
            </w:tcBorders>
            <w:vAlign w:val="center"/>
          </w:tcPr>
          <w:p w14:paraId="1BC2E5A6" w14:textId="77777777" w:rsidR="00A705C8" w:rsidRPr="005D62D4" w:rsidRDefault="00A705C8" w:rsidP="003005BD">
            <w:pPr>
              <w:pStyle w:val="Normalelt"/>
              <w:spacing w:before="60" w:after="60" w:line="240" w:lineRule="auto"/>
              <w:jc w:val="center"/>
              <w:rPr>
                <w:rFonts w:ascii="Calibri" w:hAnsi="Calibri"/>
                <w:color w:val="FF0000"/>
                <w:sz w:val="16"/>
                <w:szCs w:val="16"/>
              </w:rPr>
            </w:pPr>
            <w:r w:rsidRPr="005D62D4">
              <w:rPr>
                <w:rFonts w:ascii="Calibri" w:hAnsi="Calibri"/>
                <w:color w:val="FF0000"/>
                <w:sz w:val="16"/>
                <w:szCs w:val="16"/>
              </w:rPr>
              <w:lastRenderedPageBreak/>
              <w:t>9.00</w:t>
            </w:r>
          </w:p>
        </w:tc>
        <w:tc>
          <w:tcPr>
            <w:tcW w:w="1581" w:type="pct"/>
            <w:tcBorders>
              <w:top w:val="single" w:sz="4" w:space="0" w:color="000000"/>
              <w:bottom w:val="dotted" w:sz="4" w:space="0" w:color="auto"/>
            </w:tcBorders>
            <w:vAlign w:val="center"/>
          </w:tcPr>
          <w:p w14:paraId="1EF0E24E" w14:textId="77777777" w:rsidR="00A705C8" w:rsidRPr="005D62D4" w:rsidRDefault="00A705C8" w:rsidP="003005BD">
            <w:pPr>
              <w:pStyle w:val="Normalelt"/>
              <w:spacing w:before="60" w:after="60" w:line="240" w:lineRule="auto"/>
              <w:jc w:val="center"/>
              <w:rPr>
                <w:rFonts w:ascii="Calibri" w:hAnsi="Calibri"/>
                <w:sz w:val="16"/>
                <w:szCs w:val="16"/>
                <w:lang w:val="mk-MK"/>
              </w:rPr>
            </w:pPr>
            <w:r w:rsidRPr="005D62D4">
              <w:rPr>
                <w:rFonts w:ascii="Calibri" w:hAnsi="Calibri"/>
                <w:sz w:val="16"/>
                <w:szCs w:val="16"/>
                <w:lang w:val="mk-MK"/>
              </w:rPr>
              <w:t>Лидерот на ИГ</w:t>
            </w:r>
          </w:p>
          <w:p w14:paraId="1A268B60" w14:textId="77777777" w:rsidR="00A705C8" w:rsidRPr="005D62D4" w:rsidRDefault="00A705C8" w:rsidP="003005BD">
            <w:pPr>
              <w:pStyle w:val="Normalelt"/>
              <w:spacing w:before="60" w:after="60" w:line="240" w:lineRule="auto"/>
              <w:jc w:val="center"/>
              <w:rPr>
                <w:rFonts w:ascii="Calibri" w:hAnsi="Calibri"/>
                <w:sz w:val="16"/>
                <w:szCs w:val="16"/>
                <w:lang w:val="mk-MK"/>
              </w:rPr>
            </w:pPr>
            <w:r w:rsidRPr="005D62D4">
              <w:rPr>
                <w:rFonts w:ascii="Calibri" w:hAnsi="Calibri"/>
                <w:sz w:val="16"/>
                <w:szCs w:val="16"/>
                <w:lang w:val="mk-MK"/>
              </w:rPr>
              <w:t>Правен претставник на пострројката</w:t>
            </w:r>
          </w:p>
          <w:p w14:paraId="53BDAED3" w14:textId="77777777" w:rsidR="00A705C8" w:rsidRPr="005D62D4" w:rsidRDefault="00A705C8" w:rsidP="003005BD">
            <w:pPr>
              <w:pStyle w:val="Normalelt"/>
              <w:spacing w:before="60" w:after="60" w:line="240" w:lineRule="auto"/>
              <w:jc w:val="center"/>
              <w:rPr>
                <w:rFonts w:ascii="Calibri" w:hAnsi="Calibri"/>
                <w:sz w:val="16"/>
                <w:szCs w:val="16"/>
                <w:lang w:val="mk-MK"/>
              </w:rPr>
            </w:pPr>
            <w:r w:rsidRPr="005D62D4">
              <w:rPr>
                <w:rFonts w:ascii="Calibri" w:hAnsi="Calibri"/>
                <w:sz w:val="16"/>
                <w:szCs w:val="16"/>
                <w:lang w:val="mk-MK"/>
              </w:rPr>
              <w:t>Претставник на постројката одговорен за прашања од животната средина</w:t>
            </w:r>
          </w:p>
        </w:tc>
      </w:tr>
      <w:tr w:rsidR="00A705C8" w:rsidRPr="005D62D4" w14:paraId="0165DDA6" w14:textId="77777777" w:rsidTr="003005BD">
        <w:trPr>
          <w:trHeight w:val="737"/>
        </w:trPr>
        <w:tc>
          <w:tcPr>
            <w:tcW w:w="684" w:type="pct"/>
            <w:tcBorders>
              <w:top w:val="dotted" w:sz="4" w:space="0" w:color="auto"/>
              <w:bottom w:val="dotted" w:sz="4" w:space="0" w:color="auto"/>
            </w:tcBorders>
            <w:vAlign w:val="center"/>
          </w:tcPr>
          <w:p w14:paraId="329CE55D"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2</w:t>
            </w:r>
          </w:p>
        </w:tc>
        <w:tc>
          <w:tcPr>
            <w:tcW w:w="1165" w:type="pct"/>
            <w:gridSpan w:val="2"/>
            <w:tcBorders>
              <w:top w:val="dotted" w:sz="4" w:space="0" w:color="auto"/>
              <w:bottom w:val="dotted" w:sz="4" w:space="0" w:color="auto"/>
            </w:tcBorders>
            <w:vAlign w:val="center"/>
          </w:tcPr>
          <w:p w14:paraId="4817FB4C"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Административна инспекција</w:t>
            </w:r>
          </w:p>
        </w:tc>
        <w:tc>
          <w:tcPr>
            <w:tcW w:w="1171" w:type="pct"/>
            <w:tcBorders>
              <w:top w:val="dotted" w:sz="4" w:space="0" w:color="auto"/>
              <w:bottom w:val="dotted" w:sz="4" w:space="0" w:color="auto"/>
            </w:tcBorders>
            <w:vAlign w:val="center"/>
          </w:tcPr>
          <w:p w14:paraId="5B107CA2" w14:textId="77777777" w:rsidR="00A705C8" w:rsidRPr="005D62D4" w:rsidRDefault="00A705C8" w:rsidP="003005BD">
            <w:pPr>
              <w:pStyle w:val="Normalelt"/>
              <w:spacing w:before="60" w:after="60" w:line="240" w:lineRule="auto"/>
              <w:rPr>
                <w:rFonts w:ascii="Calibri" w:hAnsi="Calibri"/>
                <w:i/>
                <w:color w:val="FF0000"/>
                <w:sz w:val="16"/>
                <w:szCs w:val="16"/>
              </w:rPr>
            </w:pPr>
            <w:r w:rsidRPr="005D62D4">
              <w:rPr>
                <w:rFonts w:ascii="Calibri" w:hAnsi="Calibri"/>
                <w:i/>
                <w:color w:val="FF0000"/>
                <w:sz w:val="16"/>
                <w:szCs w:val="16"/>
              </w:rPr>
              <w:t xml:space="preserve">xxxxx </w:t>
            </w:r>
          </w:p>
        </w:tc>
        <w:tc>
          <w:tcPr>
            <w:tcW w:w="399" w:type="pct"/>
            <w:tcBorders>
              <w:top w:val="dotted" w:sz="4" w:space="0" w:color="auto"/>
              <w:bottom w:val="dotted" w:sz="4" w:space="0" w:color="auto"/>
            </w:tcBorders>
            <w:vAlign w:val="center"/>
          </w:tcPr>
          <w:p w14:paraId="228A2D84" w14:textId="77777777" w:rsidR="00A705C8" w:rsidRPr="005D62D4" w:rsidRDefault="00A705C8" w:rsidP="003005BD">
            <w:pPr>
              <w:pStyle w:val="Normalelt"/>
              <w:spacing w:before="60" w:after="60" w:line="240" w:lineRule="auto"/>
              <w:jc w:val="center"/>
              <w:rPr>
                <w:rFonts w:ascii="Calibri" w:hAnsi="Calibri"/>
                <w:color w:val="FF0000"/>
                <w:sz w:val="16"/>
                <w:szCs w:val="16"/>
              </w:rPr>
            </w:pPr>
            <w:r w:rsidRPr="005D62D4">
              <w:rPr>
                <w:rFonts w:ascii="Calibri" w:hAnsi="Calibri"/>
                <w:color w:val="FF0000"/>
                <w:sz w:val="16"/>
                <w:szCs w:val="16"/>
              </w:rPr>
              <w:t>11.00</w:t>
            </w:r>
          </w:p>
        </w:tc>
        <w:tc>
          <w:tcPr>
            <w:tcW w:w="1581" w:type="pct"/>
            <w:tcBorders>
              <w:top w:val="dotted" w:sz="4" w:space="0" w:color="auto"/>
              <w:bottom w:val="dotted" w:sz="4" w:space="0" w:color="auto"/>
            </w:tcBorders>
            <w:vAlign w:val="center"/>
          </w:tcPr>
          <w:p w14:paraId="2A00F28D" w14:textId="77777777" w:rsidR="00A705C8" w:rsidRPr="005D62D4" w:rsidRDefault="00A705C8" w:rsidP="003005BD">
            <w:pPr>
              <w:pStyle w:val="Normalelt"/>
              <w:spacing w:before="60" w:after="60" w:line="240" w:lineRule="auto"/>
              <w:jc w:val="center"/>
              <w:rPr>
                <w:rFonts w:ascii="Calibri" w:hAnsi="Calibri"/>
                <w:i/>
                <w:color w:val="FF0000"/>
                <w:sz w:val="16"/>
                <w:szCs w:val="16"/>
              </w:rPr>
            </w:pPr>
            <w:r w:rsidRPr="005D62D4">
              <w:rPr>
                <w:rFonts w:ascii="Calibri" w:hAnsi="Calibri"/>
                <w:i/>
                <w:color w:val="FF0000"/>
                <w:sz w:val="16"/>
                <w:szCs w:val="16"/>
              </w:rPr>
              <w:t>xxx</w:t>
            </w:r>
          </w:p>
        </w:tc>
      </w:tr>
      <w:tr w:rsidR="00A705C8" w:rsidRPr="0067462F" w14:paraId="39C9068A" w14:textId="77777777" w:rsidTr="003005BD">
        <w:trPr>
          <w:trHeight w:val="737"/>
        </w:trPr>
        <w:tc>
          <w:tcPr>
            <w:tcW w:w="684" w:type="pct"/>
            <w:tcBorders>
              <w:top w:val="dotted" w:sz="4" w:space="0" w:color="auto"/>
              <w:bottom w:val="single" w:sz="4" w:space="0" w:color="000000"/>
            </w:tcBorders>
            <w:vAlign w:val="center"/>
          </w:tcPr>
          <w:p w14:paraId="3BF4D54A"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3</w:t>
            </w:r>
          </w:p>
        </w:tc>
        <w:tc>
          <w:tcPr>
            <w:tcW w:w="1165" w:type="pct"/>
            <w:gridSpan w:val="2"/>
            <w:tcBorders>
              <w:top w:val="dotted" w:sz="4" w:space="0" w:color="auto"/>
              <w:bottom w:val="single" w:sz="4" w:space="0" w:color="000000"/>
            </w:tcBorders>
            <w:vAlign w:val="center"/>
          </w:tcPr>
          <w:p w14:paraId="3AA74343"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rPr>
              <w:t xml:space="preserve">Site visit  </w:t>
            </w:r>
          </w:p>
        </w:tc>
        <w:tc>
          <w:tcPr>
            <w:tcW w:w="1171" w:type="pct"/>
            <w:tcBorders>
              <w:top w:val="dotted" w:sz="4" w:space="0" w:color="auto"/>
              <w:bottom w:val="single" w:sz="4" w:space="0" w:color="000000"/>
            </w:tcBorders>
            <w:vAlign w:val="center"/>
          </w:tcPr>
          <w:p w14:paraId="3DCC3C4E"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lang w:val="mk-MK"/>
              </w:rPr>
              <w:t>Проверка на примената на НДТ</w:t>
            </w:r>
          </w:p>
        </w:tc>
        <w:tc>
          <w:tcPr>
            <w:tcW w:w="399" w:type="pct"/>
            <w:tcBorders>
              <w:top w:val="dotted" w:sz="4" w:space="0" w:color="auto"/>
              <w:bottom w:val="single" w:sz="4" w:space="0" w:color="000000"/>
            </w:tcBorders>
            <w:vAlign w:val="center"/>
          </w:tcPr>
          <w:p w14:paraId="5F324371"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rPr>
              <w:t>12.00</w:t>
            </w:r>
          </w:p>
        </w:tc>
        <w:tc>
          <w:tcPr>
            <w:tcW w:w="1581" w:type="pct"/>
            <w:tcBorders>
              <w:top w:val="dotted" w:sz="4" w:space="0" w:color="auto"/>
              <w:bottom w:val="single" w:sz="4" w:space="0" w:color="000000"/>
            </w:tcBorders>
            <w:vAlign w:val="center"/>
          </w:tcPr>
          <w:p w14:paraId="26522E5A"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lang w:val="mk-MK"/>
              </w:rPr>
              <w:t>Претставник на постројката одговорен за прашања од животната средина</w:t>
            </w:r>
          </w:p>
        </w:tc>
      </w:tr>
      <w:tr w:rsidR="00A705C8" w:rsidRPr="005D62D4" w14:paraId="34267230" w14:textId="77777777" w:rsidTr="003005BD">
        <w:trPr>
          <w:gridAfter w:val="4"/>
          <w:wAfter w:w="3337" w:type="pct"/>
          <w:trHeight w:val="278"/>
        </w:trPr>
        <w:tc>
          <w:tcPr>
            <w:tcW w:w="1663" w:type="pct"/>
            <w:gridSpan w:val="2"/>
            <w:tcBorders>
              <w:top w:val="dotted" w:sz="4" w:space="0" w:color="auto"/>
              <w:bottom w:val="single" w:sz="4" w:space="0" w:color="000000"/>
            </w:tcBorders>
            <w:vAlign w:val="center"/>
          </w:tcPr>
          <w:p w14:paraId="700CBFC9"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lang w:val="mk-MK"/>
              </w:rPr>
              <w:t>Ручек</w:t>
            </w:r>
            <w:r w:rsidRPr="005D62D4">
              <w:rPr>
                <w:rFonts w:ascii="Calibri" w:hAnsi="Calibri"/>
                <w:sz w:val="16"/>
                <w:szCs w:val="16"/>
              </w:rPr>
              <w:t xml:space="preserve"> 13.30 -14.30</w:t>
            </w:r>
          </w:p>
        </w:tc>
      </w:tr>
      <w:tr w:rsidR="00A705C8" w:rsidRPr="0067462F" w14:paraId="060EB1AB" w14:textId="77777777" w:rsidTr="003005BD">
        <w:trPr>
          <w:trHeight w:val="737"/>
        </w:trPr>
        <w:tc>
          <w:tcPr>
            <w:tcW w:w="684" w:type="pct"/>
            <w:tcBorders>
              <w:top w:val="single" w:sz="4" w:space="0" w:color="000000"/>
              <w:bottom w:val="dotted" w:sz="4" w:space="0" w:color="auto"/>
            </w:tcBorders>
            <w:vAlign w:val="center"/>
          </w:tcPr>
          <w:p w14:paraId="41F77221"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4</w:t>
            </w:r>
          </w:p>
        </w:tc>
        <w:tc>
          <w:tcPr>
            <w:tcW w:w="1165" w:type="pct"/>
            <w:gridSpan w:val="2"/>
            <w:tcBorders>
              <w:top w:val="single" w:sz="4" w:space="0" w:color="000000"/>
              <w:bottom w:val="dotted" w:sz="4" w:space="0" w:color="auto"/>
            </w:tcBorders>
            <w:vAlign w:val="center"/>
          </w:tcPr>
          <w:p w14:paraId="4CE23BE5"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Посета на лице место</w:t>
            </w:r>
          </w:p>
        </w:tc>
        <w:tc>
          <w:tcPr>
            <w:tcW w:w="1171" w:type="pct"/>
            <w:tcBorders>
              <w:top w:val="single" w:sz="4" w:space="0" w:color="000000"/>
              <w:bottom w:val="dotted" w:sz="4" w:space="0" w:color="auto"/>
            </w:tcBorders>
            <w:vAlign w:val="center"/>
          </w:tcPr>
          <w:p w14:paraId="1E20AD37"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lang w:val="mk-MK"/>
              </w:rPr>
              <w:t>Складирање на отпад</w:t>
            </w:r>
          </w:p>
        </w:tc>
        <w:tc>
          <w:tcPr>
            <w:tcW w:w="399" w:type="pct"/>
            <w:tcBorders>
              <w:top w:val="single" w:sz="4" w:space="0" w:color="000000"/>
              <w:bottom w:val="dotted" w:sz="4" w:space="0" w:color="auto"/>
            </w:tcBorders>
            <w:vAlign w:val="center"/>
          </w:tcPr>
          <w:p w14:paraId="66A1D578"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rPr>
              <w:t>14.30</w:t>
            </w:r>
          </w:p>
        </w:tc>
        <w:tc>
          <w:tcPr>
            <w:tcW w:w="1581" w:type="pct"/>
            <w:tcBorders>
              <w:top w:val="single" w:sz="4" w:space="0" w:color="000000"/>
              <w:bottom w:val="dotted" w:sz="4" w:space="0" w:color="auto"/>
            </w:tcBorders>
            <w:vAlign w:val="center"/>
          </w:tcPr>
          <w:p w14:paraId="6987492A"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lang w:val="mk-MK"/>
              </w:rPr>
              <w:t>Претставник на постројката одговорен за прашања од животната средина</w:t>
            </w:r>
          </w:p>
        </w:tc>
      </w:tr>
      <w:tr w:rsidR="00A705C8" w:rsidRPr="0067462F" w14:paraId="0E3B64B2" w14:textId="77777777" w:rsidTr="003005BD">
        <w:trPr>
          <w:trHeight w:val="737"/>
        </w:trPr>
        <w:tc>
          <w:tcPr>
            <w:tcW w:w="684" w:type="pct"/>
            <w:tcBorders>
              <w:top w:val="dotted" w:sz="4" w:space="0" w:color="auto"/>
              <w:bottom w:val="dotted" w:sz="4" w:space="0" w:color="auto"/>
            </w:tcBorders>
            <w:vAlign w:val="center"/>
          </w:tcPr>
          <w:p w14:paraId="7CC2A5B0"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5</w:t>
            </w:r>
          </w:p>
        </w:tc>
        <w:tc>
          <w:tcPr>
            <w:tcW w:w="1165" w:type="pct"/>
            <w:gridSpan w:val="2"/>
            <w:tcBorders>
              <w:top w:val="dotted" w:sz="4" w:space="0" w:color="auto"/>
              <w:bottom w:val="dotted" w:sz="4" w:space="0" w:color="auto"/>
            </w:tcBorders>
            <w:vAlign w:val="center"/>
          </w:tcPr>
          <w:p w14:paraId="525B5675"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Посета на лице место</w:t>
            </w:r>
          </w:p>
        </w:tc>
        <w:tc>
          <w:tcPr>
            <w:tcW w:w="1171" w:type="pct"/>
            <w:tcBorders>
              <w:top w:val="dotted" w:sz="4" w:space="0" w:color="auto"/>
              <w:bottom w:val="dotted" w:sz="4" w:space="0" w:color="auto"/>
            </w:tcBorders>
            <w:vAlign w:val="center"/>
          </w:tcPr>
          <w:p w14:paraId="1510BAB8"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lang w:val="mk-MK"/>
              </w:rPr>
              <w:t>Почистителна станица</w:t>
            </w:r>
          </w:p>
        </w:tc>
        <w:tc>
          <w:tcPr>
            <w:tcW w:w="399" w:type="pct"/>
            <w:tcBorders>
              <w:top w:val="dotted" w:sz="4" w:space="0" w:color="auto"/>
              <w:bottom w:val="dotted" w:sz="4" w:space="0" w:color="auto"/>
            </w:tcBorders>
            <w:vAlign w:val="center"/>
          </w:tcPr>
          <w:p w14:paraId="3DD7F41E"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rPr>
              <w:t>15.00</w:t>
            </w:r>
          </w:p>
        </w:tc>
        <w:tc>
          <w:tcPr>
            <w:tcW w:w="1581" w:type="pct"/>
            <w:tcBorders>
              <w:top w:val="dotted" w:sz="4" w:space="0" w:color="auto"/>
              <w:bottom w:val="dotted" w:sz="4" w:space="0" w:color="auto"/>
            </w:tcBorders>
            <w:vAlign w:val="center"/>
          </w:tcPr>
          <w:p w14:paraId="20BD037C" w14:textId="77777777" w:rsidR="00A705C8" w:rsidRPr="005D62D4" w:rsidRDefault="00A705C8" w:rsidP="003005BD">
            <w:pPr>
              <w:pStyle w:val="Normalelt"/>
              <w:spacing w:before="60" w:after="60" w:line="240" w:lineRule="auto"/>
              <w:jc w:val="center"/>
              <w:rPr>
                <w:rFonts w:ascii="Calibri" w:hAnsi="Calibri"/>
                <w:sz w:val="16"/>
                <w:szCs w:val="16"/>
              </w:rPr>
            </w:pPr>
            <w:r w:rsidRPr="005D62D4">
              <w:rPr>
                <w:rFonts w:ascii="Calibri" w:hAnsi="Calibri"/>
                <w:sz w:val="16"/>
                <w:szCs w:val="16"/>
                <w:lang w:val="mk-MK"/>
              </w:rPr>
              <w:t>Претставник на постројката одговорен за прашања од животната средина</w:t>
            </w:r>
          </w:p>
        </w:tc>
      </w:tr>
      <w:tr w:rsidR="00A705C8" w:rsidRPr="005D62D4" w14:paraId="50B870E1" w14:textId="77777777" w:rsidTr="003005BD">
        <w:trPr>
          <w:trHeight w:val="737"/>
        </w:trPr>
        <w:tc>
          <w:tcPr>
            <w:tcW w:w="684" w:type="pct"/>
            <w:tcBorders>
              <w:top w:val="dotted" w:sz="4" w:space="0" w:color="auto"/>
              <w:bottom w:val="dotted" w:sz="4" w:space="0" w:color="auto"/>
            </w:tcBorders>
            <w:vAlign w:val="center"/>
          </w:tcPr>
          <w:p w14:paraId="1792C06E" w14:textId="77777777" w:rsidR="00A705C8" w:rsidRPr="005D62D4" w:rsidRDefault="00A705C8" w:rsidP="003005BD">
            <w:pPr>
              <w:spacing w:before="60" w:after="60"/>
              <w:jc w:val="center"/>
              <w:rPr>
                <w:rFonts w:cs="Arial"/>
                <w:i/>
                <w:color w:val="FF0000"/>
                <w:sz w:val="16"/>
                <w:szCs w:val="16"/>
              </w:rPr>
            </w:pPr>
            <w:r w:rsidRPr="005D62D4">
              <w:rPr>
                <w:rFonts w:cs="Arial"/>
                <w:i/>
                <w:color w:val="FF0000"/>
                <w:sz w:val="16"/>
                <w:szCs w:val="16"/>
              </w:rPr>
              <w:t>Step xxx</w:t>
            </w:r>
          </w:p>
        </w:tc>
        <w:tc>
          <w:tcPr>
            <w:tcW w:w="1165" w:type="pct"/>
            <w:gridSpan w:val="2"/>
            <w:tcBorders>
              <w:top w:val="dotted" w:sz="4" w:space="0" w:color="auto"/>
              <w:bottom w:val="dotted" w:sz="4" w:space="0" w:color="auto"/>
            </w:tcBorders>
            <w:vAlign w:val="center"/>
          </w:tcPr>
          <w:p w14:paraId="73ED058A" w14:textId="77777777" w:rsidR="00A705C8" w:rsidRPr="005D62D4" w:rsidRDefault="00A705C8" w:rsidP="003005BD">
            <w:pPr>
              <w:pStyle w:val="Normalelt"/>
              <w:spacing w:before="60" w:after="60" w:line="240" w:lineRule="auto"/>
              <w:rPr>
                <w:rFonts w:ascii="Calibri" w:hAnsi="Calibri"/>
                <w:i/>
                <w:color w:val="FF0000"/>
                <w:sz w:val="16"/>
                <w:szCs w:val="16"/>
              </w:rPr>
            </w:pPr>
            <w:r w:rsidRPr="005D62D4">
              <w:rPr>
                <w:rFonts w:ascii="Calibri" w:hAnsi="Calibri"/>
                <w:i/>
                <w:color w:val="FF0000"/>
                <w:sz w:val="16"/>
                <w:szCs w:val="16"/>
              </w:rPr>
              <w:t>xxx</w:t>
            </w:r>
          </w:p>
        </w:tc>
        <w:tc>
          <w:tcPr>
            <w:tcW w:w="1171" w:type="pct"/>
            <w:tcBorders>
              <w:top w:val="dotted" w:sz="4" w:space="0" w:color="auto"/>
              <w:bottom w:val="dotted" w:sz="4" w:space="0" w:color="auto"/>
            </w:tcBorders>
            <w:vAlign w:val="center"/>
          </w:tcPr>
          <w:p w14:paraId="66FA6735" w14:textId="77777777" w:rsidR="00A705C8" w:rsidRPr="005D62D4" w:rsidRDefault="00A705C8" w:rsidP="003005BD">
            <w:pPr>
              <w:pStyle w:val="Normalelt"/>
              <w:spacing w:before="60" w:after="60" w:line="240" w:lineRule="auto"/>
              <w:rPr>
                <w:rFonts w:ascii="Calibri" w:hAnsi="Calibri"/>
                <w:i/>
                <w:color w:val="FF0000"/>
                <w:sz w:val="16"/>
                <w:szCs w:val="16"/>
              </w:rPr>
            </w:pPr>
            <w:r w:rsidRPr="005D62D4">
              <w:rPr>
                <w:rFonts w:ascii="Calibri" w:hAnsi="Calibri"/>
                <w:i/>
                <w:color w:val="FF0000"/>
                <w:sz w:val="16"/>
                <w:szCs w:val="16"/>
              </w:rPr>
              <w:t>xxx</w:t>
            </w:r>
          </w:p>
        </w:tc>
        <w:tc>
          <w:tcPr>
            <w:tcW w:w="399" w:type="pct"/>
            <w:tcBorders>
              <w:top w:val="dotted" w:sz="4" w:space="0" w:color="auto"/>
              <w:bottom w:val="dotted" w:sz="4" w:space="0" w:color="auto"/>
            </w:tcBorders>
            <w:vAlign w:val="center"/>
          </w:tcPr>
          <w:p w14:paraId="2F5641A2" w14:textId="77777777" w:rsidR="00A705C8" w:rsidRPr="005D62D4" w:rsidRDefault="00A705C8" w:rsidP="003005BD">
            <w:pPr>
              <w:pStyle w:val="Normalelt"/>
              <w:spacing w:before="60" w:after="60" w:line="240" w:lineRule="auto"/>
              <w:jc w:val="center"/>
              <w:rPr>
                <w:rFonts w:ascii="Calibri" w:hAnsi="Calibri"/>
                <w:i/>
                <w:color w:val="FF0000"/>
                <w:sz w:val="16"/>
                <w:szCs w:val="16"/>
              </w:rPr>
            </w:pPr>
            <w:r w:rsidRPr="005D62D4">
              <w:rPr>
                <w:rFonts w:ascii="Calibri" w:hAnsi="Calibri"/>
                <w:i/>
                <w:color w:val="FF0000"/>
                <w:sz w:val="16"/>
                <w:szCs w:val="16"/>
              </w:rPr>
              <w:t>xxx</w:t>
            </w:r>
          </w:p>
        </w:tc>
        <w:tc>
          <w:tcPr>
            <w:tcW w:w="1581" w:type="pct"/>
            <w:tcBorders>
              <w:top w:val="dotted" w:sz="4" w:space="0" w:color="auto"/>
              <w:bottom w:val="dotted" w:sz="4" w:space="0" w:color="auto"/>
            </w:tcBorders>
            <w:vAlign w:val="center"/>
          </w:tcPr>
          <w:p w14:paraId="1B20B47A" w14:textId="77777777" w:rsidR="00A705C8" w:rsidRPr="005D62D4" w:rsidRDefault="00A705C8" w:rsidP="003005BD">
            <w:pPr>
              <w:pStyle w:val="Normalelt"/>
              <w:spacing w:before="60" w:after="60" w:line="240" w:lineRule="auto"/>
              <w:jc w:val="center"/>
              <w:rPr>
                <w:rFonts w:ascii="Calibri" w:hAnsi="Calibri"/>
                <w:i/>
                <w:color w:val="FF0000"/>
                <w:sz w:val="16"/>
                <w:szCs w:val="16"/>
                <w:lang w:val="en-US"/>
              </w:rPr>
            </w:pPr>
            <w:r w:rsidRPr="005D62D4">
              <w:rPr>
                <w:rFonts w:ascii="Calibri" w:hAnsi="Calibri"/>
                <w:i/>
                <w:color w:val="FF0000"/>
                <w:sz w:val="16"/>
                <w:szCs w:val="16"/>
                <w:lang w:val="en-US"/>
              </w:rPr>
              <w:t>xxx</w:t>
            </w:r>
          </w:p>
        </w:tc>
      </w:tr>
      <w:tr w:rsidR="00A705C8" w:rsidRPr="005D62D4" w14:paraId="32AB48E1" w14:textId="77777777" w:rsidTr="003005BD">
        <w:trPr>
          <w:trHeight w:val="737"/>
        </w:trPr>
        <w:tc>
          <w:tcPr>
            <w:tcW w:w="684" w:type="pct"/>
            <w:tcBorders>
              <w:top w:val="dotted" w:sz="4" w:space="0" w:color="auto"/>
              <w:bottom w:val="dotted" w:sz="4" w:space="0" w:color="auto"/>
            </w:tcBorders>
            <w:vAlign w:val="center"/>
          </w:tcPr>
          <w:p w14:paraId="4ECF494B"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xx</w:t>
            </w:r>
          </w:p>
        </w:tc>
        <w:tc>
          <w:tcPr>
            <w:tcW w:w="1165" w:type="pct"/>
            <w:gridSpan w:val="2"/>
            <w:tcBorders>
              <w:top w:val="dotted" w:sz="4" w:space="0" w:color="auto"/>
              <w:bottom w:val="dotted" w:sz="4" w:space="0" w:color="auto"/>
            </w:tcBorders>
            <w:vAlign w:val="center"/>
          </w:tcPr>
          <w:p w14:paraId="013BAF1F"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lang w:val="mk-MK"/>
              </w:rPr>
              <w:t>Записник за инспекцијата</w:t>
            </w:r>
            <w:r w:rsidRPr="005D62D4">
              <w:rPr>
                <w:rFonts w:ascii="Calibri" w:hAnsi="Calibri"/>
                <w:sz w:val="16"/>
                <w:szCs w:val="16"/>
              </w:rPr>
              <w:t xml:space="preserve"> </w:t>
            </w:r>
          </w:p>
        </w:tc>
        <w:tc>
          <w:tcPr>
            <w:tcW w:w="1171" w:type="pct"/>
            <w:tcBorders>
              <w:top w:val="dotted" w:sz="4" w:space="0" w:color="auto"/>
              <w:bottom w:val="dotted" w:sz="4" w:space="0" w:color="auto"/>
            </w:tcBorders>
            <w:vAlign w:val="center"/>
          </w:tcPr>
          <w:p w14:paraId="69B9E8D0" w14:textId="77777777" w:rsidR="00A705C8" w:rsidRPr="005D62D4" w:rsidRDefault="00A705C8" w:rsidP="003005BD">
            <w:pPr>
              <w:pStyle w:val="Normalelt"/>
              <w:spacing w:before="60" w:after="60" w:line="240" w:lineRule="auto"/>
              <w:rPr>
                <w:rFonts w:ascii="Calibri" w:hAnsi="Calibri"/>
                <w:sz w:val="16"/>
                <w:szCs w:val="16"/>
              </w:rPr>
            </w:pPr>
            <w:r w:rsidRPr="005D62D4">
              <w:rPr>
                <w:rFonts w:ascii="Calibri" w:hAnsi="Calibri"/>
                <w:sz w:val="16"/>
                <w:szCs w:val="16"/>
                <w:lang w:val="mk-MK"/>
              </w:rPr>
              <w:t>Нацрт и изготвување на записник за инспекцијата</w:t>
            </w:r>
            <w:r w:rsidRPr="005D62D4">
              <w:rPr>
                <w:rFonts w:ascii="Calibri" w:hAnsi="Calibri"/>
                <w:sz w:val="16"/>
                <w:szCs w:val="16"/>
              </w:rPr>
              <w:t xml:space="preserve">. </w:t>
            </w:r>
          </w:p>
        </w:tc>
        <w:tc>
          <w:tcPr>
            <w:tcW w:w="399" w:type="pct"/>
            <w:tcBorders>
              <w:top w:val="dotted" w:sz="4" w:space="0" w:color="auto"/>
              <w:bottom w:val="dotted" w:sz="4" w:space="0" w:color="auto"/>
            </w:tcBorders>
            <w:vAlign w:val="center"/>
          </w:tcPr>
          <w:p w14:paraId="1C256861" w14:textId="77777777" w:rsidR="00A705C8" w:rsidRPr="005D62D4" w:rsidRDefault="00A705C8" w:rsidP="003005BD">
            <w:pPr>
              <w:pStyle w:val="Normalelt"/>
              <w:spacing w:before="60" w:after="60" w:line="240" w:lineRule="auto"/>
              <w:jc w:val="center"/>
              <w:rPr>
                <w:rFonts w:ascii="Calibri" w:hAnsi="Calibri"/>
                <w:sz w:val="16"/>
                <w:szCs w:val="16"/>
                <w:lang w:val="en-US"/>
              </w:rPr>
            </w:pPr>
            <w:r w:rsidRPr="005D62D4">
              <w:rPr>
                <w:rFonts w:ascii="Calibri" w:hAnsi="Calibri"/>
                <w:sz w:val="16"/>
                <w:szCs w:val="16"/>
                <w:lang w:val="en-US"/>
              </w:rPr>
              <w:t>16.00</w:t>
            </w:r>
          </w:p>
        </w:tc>
        <w:tc>
          <w:tcPr>
            <w:tcW w:w="1581" w:type="pct"/>
            <w:tcBorders>
              <w:top w:val="dotted" w:sz="4" w:space="0" w:color="auto"/>
              <w:bottom w:val="dotted" w:sz="4" w:space="0" w:color="auto"/>
            </w:tcBorders>
            <w:vAlign w:val="center"/>
          </w:tcPr>
          <w:p w14:paraId="622216FF" w14:textId="77777777" w:rsidR="00A705C8" w:rsidRPr="005D62D4" w:rsidRDefault="00A705C8" w:rsidP="003005BD">
            <w:pPr>
              <w:pStyle w:val="Normalelt"/>
              <w:spacing w:before="60" w:after="60" w:line="240" w:lineRule="auto"/>
              <w:jc w:val="center"/>
              <w:rPr>
                <w:rFonts w:ascii="Calibri" w:hAnsi="Calibri"/>
                <w:sz w:val="16"/>
                <w:szCs w:val="16"/>
                <w:lang w:val="mk-MK"/>
              </w:rPr>
            </w:pPr>
            <w:r w:rsidRPr="005D62D4">
              <w:rPr>
                <w:rFonts w:ascii="Calibri" w:hAnsi="Calibri"/>
                <w:sz w:val="16"/>
                <w:szCs w:val="16"/>
                <w:lang w:val="mk-MK"/>
              </w:rPr>
              <w:t>Правен претставник на пострројката</w:t>
            </w:r>
          </w:p>
          <w:p w14:paraId="50D91299" w14:textId="77777777" w:rsidR="00A705C8" w:rsidRPr="005D62D4" w:rsidRDefault="00A705C8" w:rsidP="003005BD">
            <w:pPr>
              <w:pStyle w:val="Normalelt"/>
              <w:spacing w:before="60" w:after="60" w:line="240" w:lineRule="auto"/>
              <w:jc w:val="center"/>
              <w:rPr>
                <w:rFonts w:ascii="Calibri" w:hAnsi="Calibri"/>
                <w:sz w:val="16"/>
                <w:szCs w:val="16"/>
                <w:lang w:val="en-US"/>
              </w:rPr>
            </w:pPr>
          </w:p>
        </w:tc>
      </w:tr>
      <w:tr w:rsidR="00A705C8" w:rsidRPr="005D62D4" w14:paraId="7BC6E545" w14:textId="77777777" w:rsidTr="003005BD">
        <w:trPr>
          <w:trHeight w:val="737"/>
        </w:trPr>
        <w:tc>
          <w:tcPr>
            <w:tcW w:w="684" w:type="pct"/>
            <w:tcBorders>
              <w:top w:val="dotted" w:sz="4" w:space="0" w:color="auto"/>
              <w:bottom w:val="single" w:sz="4" w:space="0" w:color="000000"/>
            </w:tcBorders>
            <w:vAlign w:val="center"/>
          </w:tcPr>
          <w:p w14:paraId="7017BCA6" w14:textId="77777777" w:rsidR="00A705C8" w:rsidRPr="005D62D4" w:rsidRDefault="00A705C8" w:rsidP="003005BD">
            <w:pPr>
              <w:spacing w:before="60" w:after="60"/>
              <w:jc w:val="center"/>
              <w:rPr>
                <w:rFonts w:cs="Arial"/>
                <w:sz w:val="16"/>
                <w:szCs w:val="16"/>
              </w:rPr>
            </w:pPr>
            <w:r w:rsidRPr="005D62D4">
              <w:rPr>
                <w:rFonts w:cs="Arial"/>
                <w:sz w:val="16"/>
                <w:szCs w:val="16"/>
                <w:lang w:val="mk-MK"/>
              </w:rPr>
              <w:t>Чекор</w:t>
            </w:r>
            <w:r w:rsidRPr="005D62D4">
              <w:rPr>
                <w:rFonts w:cs="Arial"/>
                <w:sz w:val="16"/>
                <w:szCs w:val="16"/>
              </w:rPr>
              <w:t xml:space="preserve"> xx</w:t>
            </w:r>
          </w:p>
        </w:tc>
        <w:tc>
          <w:tcPr>
            <w:tcW w:w="1165" w:type="pct"/>
            <w:gridSpan w:val="2"/>
            <w:tcBorders>
              <w:top w:val="dotted" w:sz="4" w:space="0" w:color="auto"/>
              <w:bottom w:val="single" w:sz="4" w:space="0" w:color="000000"/>
            </w:tcBorders>
            <w:vAlign w:val="center"/>
          </w:tcPr>
          <w:p w14:paraId="59AD0F22" w14:textId="77777777" w:rsidR="00A705C8" w:rsidRPr="005D62D4" w:rsidRDefault="00A705C8" w:rsidP="003005BD">
            <w:pPr>
              <w:pStyle w:val="Normalelt"/>
              <w:spacing w:before="60" w:after="60" w:line="240" w:lineRule="auto"/>
              <w:rPr>
                <w:rFonts w:ascii="Calibri" w:hAnsi="Calibri"/>
                <w:sz w:val="16"/>
                <w:szCs w:val="16"/>
                <w:lang w:val="en-US"/>
              </w:rPr>
            </w:pPr>
            <w:r w:rsidRPr="005D62D4">
              <w:rPr>
                <w:rFonts w:ascii="Calibri" w:hAnsi="Calibri"/>
                <w:sz w:val="16"/>
                <w:szCs w:val="16"/>
                <w:lang w:val="mk-MK"/>
              </w:rPr>
              <w:t>Завршен состанок</w:t>
            </w:r>
          </w:p>
        </w:tc>
        <w:tc>
          <w:tcPr>
            <w:tcW w:w="1171" w:type="pct"/>
            <w:tcBorders>
              <w:top w:val="dotted" w:sz="4" w:space="0" w:color="auto"/>
              <w:bottom w:val="single" w:sz="4" w:space="0" w:color="000000"/>
            </w:tcBorders>
            <w:vAlign w:val="center"/>
          </w:tcPr>
          <w:p w14:paraId="5F2A7BAB" w14:textId="77777777" w:rsidR="00A705C8" w:rsidRPr="005D62D4" w:rsidRDefault="00A705C8" w:rsidP="003005BD">
            <w:pPr>
              <w:pStyle w:val="Normalelt"/>
              <w:spacing w:before="60" w:after="60" w:line="240" w:lineRule="auto"/>
              <w:rPr>
                <w:rFonts w:ascii="Calibri" w:hAnsi="Calibri"/>
                <w:sz w:val="16"/>
                <w:szCs w:val="16"/>
                <w:lang w:val="mk-MK"/>
              </w:rPr>
            </w:pPr>
            <w:r w:rsidRPr="005D62D4">
              <w:rPr>
                <w:rFonts w:ascii="Calibri" w:hAnsi="Calibri"/>
                <w:sz w:val="16"/>
                <w:szCs w:val="16"/>
                <w:lang w:val="mk-MK"/>
              </w:rPr>
              <w:t>Заклучоци</w:t>
            </w:r>
          </w:p>
        </w:tc>
        <w:tc>
          <w:tcPr>
            <w:tcW w:w="399" w:type="pct"/>
            <w:tcBorders>
              <w:top w:val="dotted" w:sz="4" w:space="0" w:color="auto"/>
              <w:bottom w:val="single" w:sz="4" w:space="0" w:color="000000"/>
            </w:tcBorders>
            <w:vAlign w:val="center"/>
          </w:tcPr>
          <w:p w14:paraId="7BD733AC" w14:textId="77777777" w:rsidR="00A705C8" w:rsidRPr="005D62D4" w:rsidRDefault="00A705C8" w:rsidP="003005BD">
            <w:pPr>
              <w:pStyle w:val="Normalelt"/>
              <w:spacing w:before="60" w:after="60" w:line="240" w:lineRule="auto"/>
              <w:jc w:val="center"/>
              <w:rPr>
                <w:rFonts w:ascii="Calibri" w:hAnsi="Calibri"/>
                <w:sz w:val="16"/>
                <w:szCs w:val="16"/>
                <w:lang w:val="en-US"/>
              </w:rPr>
            </w:pPr>
            <w:r w:rsidRPr="005D62D4">
              <w:rPr>
                <w:rFonts w:ascii="Calibri" w:hAnsi="Calibri"/>
                <w:sz w:val="16"/>
                <w:szCs w:val="16"/>
                <w:lang w:val="en-US"/>
              </w:rPr>
              <w:t>17.30</w:t>
            </w:r>
          </w:p>
        </w:tc>
        <w:tc>
          <w:tcPr>
            <w:tcW w:w="1581" w:type="pct"/>
            <w:tcBorders>
              <w:top w:val="dotted" w:sz="4" w:space="0" w:color="auto"/>
              <w:bottom w:val="single" w:sz="4" w:space="0" w:color="000000"/>
            </w:tcBorders>
            <w:vAlign w:val="center"/>
          </w:tcPr>
          <w:p w14:paraId="09E6448D" w14:textId="77777777" w:rsidR="00A705C8" w:rsidRPr="005D62D4" w:rsidRDefault="00A705C8" w:rsidP="003005BD">
            <w:pPr>
              <w:pStyle w:val="Normalelt"/>
              <w:spacing w:before="60" w:after="60" w:line="240" w:lineRule="auto"/>
              <w:jc w:val="center"/>
              <w:rPr>
                <w:rFonts w:ascii="Calibri" w:hAnsi="Calibri"/>
                <w:sz w:val="16"/>
                <w:szCs w:val="16"/>
                <w:lang w:val="mk-MK"/>
              </w:rPr>
            </w:pPr>
            <w:r w:rsidRPr="005D62D4">
              <w:rPr>
                <w:rFonts w:ascii="Calibri" w:hAnsi="Calibri"/>
                <w:sz w:val="16"/>
                <w:szCs w:val="16"/>
                <w:lang w:val="mk-MK"/>
              </w:rPr>
              <w:t>Правен претставник на пострројката</w:t>
            </w:r>
          </w:p>
          <w:p w14:paraId="61E07A76" w14:textId="77777777" w:rsidR="00A705C8" w:rsidRPr="005D62D4" w:rsidRDefault="00A705C8" w:rsidP="003005BD">
            <w:pPr>
              <w:pStyle w:val="Normalelt"/>
              <w:spacing w:before="60" w:after="60" w:line="240" w:lineRule="auto"/>
              <w:jc w:val="center"/>
              <w:rPr>
                <w:rFonts w:ascii="Calibri" w:hAnsi="Calibri"/>
                <w:sz w:val="16"/>
                <w:szCs w:val="16"/>
                <w:lang w:val="en-US"/>
              </w:rPr>
            </w:pPr>
            <w:r w:rsidRPr="005D62D4">
              <w:rPr>
                <w:rFonts w:ascii="Calibri" w:hAnsi="Calibri"/>
                <w:sz w:val="16"/>
                <w:szCs w:val="16"/>
                <w:lang w:val="mk-MK"/>
              </w:rPr>
              <w:t>Претставник на постројката одговорен за прашања од животната средина</w:t>
            </w:r>
          </w:p>
        </w:tc>
      </w:tr>
    </w:tbl>
    <w:p w14:paraId="18567132" w14:textId="77777777" w:rsidR="00A705C8" w:rsidRPr="005D62D4" w:rsidRDefault="00A705C8" w:rsidP="00A705C8">
      <w:pPr>
        <w:rPr>
          <w:rFonts w:cs="Arial"/>
          <w:color w:val="000000"/>
          <w:sz w:val="18"/>
          <w:szCs w:val="18"/>
          <w:lang w:val="mk-MK"/>
        </w:rPr>
      </w:pPr>
    </w:p>
    <w:p w14:paraId="474138A5" w14:textId="77777777" w:rsidR="00A705C8" w:rsidRPr="005D62D4" w:rsidRDefault="00A705C8" w:rsidP="00A705C8">
      <w:pPr>
        <w:rPr>
          <w:b/>
          <w:i/>
          <w:caps/>
          <w:lang w:val="mk-MK"/>
        </w:rPr>
      </w:pPr>
      <w:r w:rsidRPr="005D62D4">
        <w:rPr>
          <w:b/>
          <w:i/>
          <w:lang w:val="mk-MK"/>
        </w:rPr>
        <w:t>Документи што операторот треба да ги подготви</w:t>
      </w:r>
    </w:p>
    <w:p w14:paraId="2C26F599" w14:textId="77777777" w:rsidR="00A705C8" w:rsidRPr="005D62D4" w:rsidRDefault="00A705C8" w:rsidP="005748BE">
      <w:pPr>
        <w:pStyle w:val="Normalelt"/>
        <w:numPr>
          <w:ilvl w:val="0"/>
          <w:numId w:val="7"/>
        </w:numPr>
        <w:spacing w:before="60" w:after="60"/>
        <w:ind w:left="284" w:hanging="284"/>
        <w:rPr>
          <w:rFonts w:ascii="Calibri" w:hAnsi="Calibri"/>
          <w:lang w:val="mk-MK"/>
        </w:rPr>
      </w:pPr>
      <w:r w:rsidRPr="005D62D4">
        <w:rPr>
          <w:rFonts w:ascii="Calibri" w:hAnsi="Calibri"/>
          <w:lang w:val="mk-MK"/>
        </w:rPr>
        <w:t xml:space="preserve">Ажуриран план/проект на постројката во кој ке бидат означени: </w:t>
      </w:r>
    </w:p>
    <w:p w14:paraId="6DA8B862" w14:textId="77777777" w:rsidR="00A705C8" w:rsidRPr="005D62D4" w:rsidRDefault="00A705C8" w:rsidP="005748BE">
      <w:pPr>
        <w:pStyle w:val="Normalelt"/>
        <w:numPr>
          <w:ilvl w:val="0"/>
          <w:numId w:val="8"/>
        </w:numPr>
        <w:spacing w:before="60" w:after="60"/>
        <w:rPr>
          <w:rFonts w:ascii="Calibri" w:hAnsi="Calibri"/>
        </w:rPr>
      </w:pPr>
      <w:r w:rsidRPr="005D62D4">
        <w:rPr>
          <w:rFonts w:ascii="Calibri" w:hAnsi="Calibri"/>
          <w:lang w:val="mk-MK"/>
        </w:rPr>
        <w:t>Точките на излевање на вода</w:t>
      </w:r>
    </w:p>
    <w:p w14:paraId="7CB68494" w14:textId="77777777" w:rsidR="00A705C8" w:rsidRPr="005D62D4" w:rsidRDefault="00A705C8" w:rsidP="005748BE">
      <w:pPr>
        <w:pStyle w:val="Normalelt"/>
        <w:numPr>
          <w:ilvl w:val="0"/>
          <w:numId w:val="8"/>
        </w:numPr>
        <w:spacing w:before="60" w:after="60"/>
        <w:rPr>
          <w:rFonts w:ascii="Calibri" w:hAnsi="Calibri"/>
        </w:rPr>
      </w:pPr>
      <w:r w:rsidRPr="005D62D4">
        <w:rPr>
          <w:rFonts w:ascii="Calibri" w:hAnsi="Calibri"/>
          <w:lang w:val="mk-MK"/>
        </w:rPr>
        <w:t>Точките за емисии во воздухот</w:t>
      </w:r>
    </w:p>
    <w:p w14:paraId="01092113" w14:textId="77777777" w:rsidR="00A705C8" w:rsidRPr="005D62D4" w:rsidRDefault="00A705C8" w:rsidP="005748BE">
      <w:pPr>
        <w:pStyle w:val="Normalelt"/>
        <w:numPr>
          <w:ilvl w:val="0"/>
          <w:numId w:val="8"/>
        </w:numPr>
        <w:spacing w:before="60" w:after="60"/>
        <w:rPr>
          <w:rFonts w:ascii="Calibri" w:hAnsi="Calibri"/>
        </w:rPr>
      </w:pPr>
      <w:r w:rsidRPr="005D62D4">
        <w:rPr>
          <w:rFonts w:ascii="Calibri" w:hAnsi="Calibri"/>
          <w:lang w:val="mk-MK"/>
        </w:rPr>
        <w:t>Области за складирање на отпад</w:t>
      </w:r>
    </w:p>
    <w:p w14:paraId="56467A64" w14:textId="77777777" w:rsidR="00A705C8" w:rsidRPr="005D62D4" w:rsidRDefault="00A705C8" w:rsidP="005748BE">
      <w:pPr>
        <w:pStyle w:val="Normalelt"/>
        <w:numPr>
          <w:ilvl w:val="0"/>
          <w:numId w:val="8"/>
        </w:numPr>
        <w:spacing w:before="60" w:after="60"/>
        <w:rPr>
          <w:rFonts w:ascii="Calibri" w:hAnsi="Calibri"/>
          <w:i/>
          <w:color w:val="FF0000"/>
        </w:rPr>
      </w:pPr>
      <w:r w:rsidRPr="005D62D4">
        <w:rPr>
          <w:rFonts w:ascii="Calibri" w:hAnsi="Calibri"/>
          <w:i/>
          <w:color w:val="FF0000"/>
        </w:rPr>
        <w:t>xxxxxx;</w:t>
      </w:r>
    </w:p>
    <w:p w14:paraId="68D239C6" w14:textId="77777777" w:rsidR="00A705C8" w:rsidRPr="005D62D4" w:rsidRDefault="00A705C8" w:rsidP="005748BE">
      <w:pPr>
        <w:pStyle w:val="Normalelt"/>
        <w:numPr>
          <w:ilvl w:val="0"/>
          <w:numId w:val="7"/>
        </w:numPr>
        <w:spacing w:before="60" w:after="60"/>
        <w:ind w:left="284" w:hanging="284"/>
        <w:rPr>
          <w:rFonts w:ascii="Calibri" w:hAnsi="Calibri"/>
        </w:rPr>
      </w:pPr>
      <w:r w:rsidRPr="005D62D4">
        <w:rPr>
          <w:rFonts w:ascii="Calibri" w:hAnsi="Calibri"/>
          <w:lang w:val="mk-MK"/>
        </w:rPr>
        <w:t>Сертификат за Систем за управување во животната средина</w:t>
      </w:r>
      <w:r w:rsidRPr="005D62D4">
        <w:rPr>
          <w:rFonts w:ascii="Calibri" w:hAnsi="Calibri"/>
        </w:rPr>
        <w:t>.</w:t>
      </w:r>
    </w:p>
    <w:p w14:paraId="63FF585D" w14:textId="77777777" w:rsidR="00A705C8" w:rsidRPr="005D62D4" w:rsidRDefault="00A705C8" w:rsidP="005748BE">
      <w:pPr>
        <w:pStyle w:val="Normalelt"/>
        <w:numPr>
          <w:ilvl w:val="0"/>
          <w:numId w:val="7"/>
        </w:numPr>
        <w:spacing w:before="60" w:after="60"/>
        <w:ind w:left="284" w:hanging="284"/>
        <w:rPr>
          <w:rFonts w:ascii="Calibri" w:hAnsi="Calibri"/>
        </w:rPr>
      </w:pPr>
      <w:r w:rsidRPr="005D62D4">
        <w:rPr>
          <w:rFonts w:ascii="Calibri" w:hAnsi="Calibri"/>
          <w:lang w:val="mk-MK"/>
        </w:rPr>
        <w:t>Сертификат за анализа издаден од сертифицирана лабораторија за последната мониторинг анализа</w:t>
      </w:r>
      <w:r w:rsidRPr="005D62D4">
        <w:rPr>
          <w:rFonts w:ascii="Calibri" w:hAnsi="Calibri"/>
        </w:rPr>
        <w:t>.</w:t>
      </w:r>
    </w:p>
    <w:p w14:paraId="55EDD627" w14:textId="77777777" w:rsidR="00A705C8" w:rsidRPr="005D62D4" w:rsidRDefault="00A705C8" w:rsidP="005748BE">
      <w:pPr>
        <w:pStyle w:val="Normalelt"/>
        <w:numPr>
          <w:ilvl w:val="0"/>
          <w:numId w:val="7"/>
        </w:numPr>
        <w:spacing w:before="60" w:after="60"/>
        <w:ind w:left="284" w:hanging="284"/>
        <w:rPr>
          <w:rFonts w:ascii="Calibri" w:hAnsi="Calibri"/>
        </w:rPr>
      </w:pPr>
      <w:r w:rsidRPr="005D62D4">
        <w:rPr>
          <w:rFonts w:ascii="Calibri" w:hAnsi="Calibri"/>
          <w:lang w:val="mk-MK"/>
        </w:rPr>
        <w:t>Известување до Овластеното тело во врска со инцидентите</w:t>
      </w:r>
      <w:r w:rsidRPr="005D62D4">
        <w:rPr>
          <w:rFonts w:ascii="Calibri" w:hAnsi="Calibri"/>
        </w:rPr>
        <w:t>.</w:t>
      </w:r>
    </w:p>
    <w:p w14:paraId="776E34C7" w14:textId="65402D64" w:rsidR="00B16C23" w:rsidRPr="00A705C8" w:rsidRDefault="00A705C8" w:rsidP="005748BE">
      <w:pPr>
        <w:pStyle w:val="Normalelt"/>
        <w:numPr>
          <w:ilvl w:val="0"/>
          <w:numId w:val="7"/>
        </w:numPr>
        <w:spacing w:before="60" w:after="60"/>
        <w:ind w:left="284" w:hanging="284"/>
        <w:rPr>
          <w:rFonts w:ascii="Calibri" w:hAnsi="Calibri"/>
          <w:i/>
          <w:color w:val="FF0000"/>
        </w:rPr>
      </w:pPr>
      <w:r w:rsidRPr="005D62D4">
        <w:rPr>
          <w:rFonts w:ascii="Calibri" w:hAnsi="Calibri"/>
          <w:i/>
          <w:color w:val="FF0000"/>
        </w:rPr>
        <w:t>xxxxx.</w:t>
      </w:r>
    </w:p>
    <w:p w14:paraId="0C115975" w14:textId="77777777" w:rsidR="00A705C8" w:rsidRDefault="00A705C8">
      <w:pPr>
        <w:spacing w:after="0" w:line="240" w:lineRule="auto"/>
        <w:jc w:val="left"/>
        <w:rPr>
          <w:rFonts w:cs="Calibri"/>
          <w:b/>
          <w:bCs/>
          <w:i/>
          <w:iCs/>
          <w:color w:val="1F4E79"/>
          <w:kern w:val="32"/>
          <w:sz w:val="40"/>
          <w:szCs w:val="40"/>
          <w:bdr w:val="nil"/>
          <w:lang w:val="mk-MK" w:bidi="mk-MK"/>
        </w:rPr>
      </w:pPr>
      <w:r>
        <w:rPr>
          <w:rFonts w:cs="Calibri"/>
          <w:iCs/>
          <w:szCs w:val="40"/>
          <w:bdr w:val="nil"/>
          <w:lang w:val="mk-MK" w:bidi="mk-MK"/>
        </w:rPr>
        <w:br w:type="page"/>
      </w:r>
    </w:p>
    <w:p w14:paraId="59EBB6DE" w14:textId="6A1A3FE0" w:rsidR="00B16C23" w:rsidRDefault="00B16C04" w:rsidP="00B16C23">
      <w:pPr>
        <w:pStyle w:val="Heading1"/>
      </w:pPr>
      <w:bookmarkStart w:id="169" w:name="_Toc444009871"/>
      <w:r>
        <w:rPr>
          <w:rFonts w:eastAsia="Calibri" w:cs="Calibri"/>
          <w:iCs/>
          <w:szCs w:val="40"/>
          <w:bdr w:val="nil"/>
          <w:lang w:val="mk-MK" w:bidi="mk-MK"/>
        </w:rPr>
        <w:lastRenderedPageBreak/>
        <w:t>Анекс 3: Секторска терм</w:t>
      </w:r>
      <w:r w:rsidR="007F6116">
        <w:rPr>
          <w:rFonts w:eastAsia="Calibri" w:cs="Calibri"/>
          <w:iCs/>
          <w:szCs w:val="40"/>
          <w:bdr w:val="nil"/>
          <w:lang w:val="mk-MK" w:bidi="mk-MK"/>
        </w:rPr>
        <w:t>и</w:t>
      </w:r>
      <w:r>
        <w:rPr>
          <w:rFonts w:eastAsia="Calibri" w:cs="Calibri"/>
          <w:iCs/>
          <w:szCs w:val="40"/>
          <w:bdr w:val="nil"/>
          <w:lang w:val="mk-MK" w:bidi="mk-MK"/>
        </w:rPr>
        <w:t>нологија</w:t>
      </w:r>
      <w:bookmarkEnd w:id="169"/>
      <w:r>
        <w:rPr>
          <w:rFonts w:eastAsia="Calibri" w:cs="Calibri"/>
          <w:iCs/>
          <w:szCs w:val="40"/>
          <w:bdr w:val="nil"/>
          <w:lang w:val="mk-MK" w:bidi="mk-MK"/>
        </w:rPr>
        <w:t xml:space="preserve"> </w:t>
      </w:r>
    </w:p>
    <w:p w14:paraId="42D35729" w14:textId="6DA13B62" w:rsidR="00B16C23" w:rsidRPr="00623485" w:rsidRDefault="00B16C04" w:rsidP="00B16C23">
      <w:pPr>
        <w:rPr>
          <w:lang w:val="mk-MK"/>
        </w:rPr>
      </w:pPr>
      <w:r>
        <w:rPr>
          <w:rFonts w:cs="Calibri"/>
          <w:bdr w:val="nil"/>
          <w:lang w:val="mk-MK" w:bidi="mk-MK"/>
        </w:rPr>
        <w:t xml:space="preserve">Суперкритички генератор на пареа е вид на котел кој работи на суперкритички притисок, и кој често се користи за производство на електрична енергија.  Тој работи на температура над критичкиот притисок од 22 MPa на кој можат да се формираат меури.  Наместо </w:t>
      </w:r>
      <w:r w:rsidR="007F6116">
        <w:rPr>
          <w:rFonts w:cs="Calibri"/>
          <w:bdr w:val="nil"/>
          <w:lang w:val="mk-MK" w:bidi="mk-MK"/>
        </w:rPr>
        <w:t xml:space="preserve">во </w:t>
      </w:r>
      <w:r>
        <w:rPr>
          <w:rFonts w:cs="Calibri"/>
          <w:bdr w:val="nil"/>
          <w:lang w:val="mk-MK" w:bidi="mk-MK"/>
        </w:rPr>
        <w:t xml:space="preserve">течност, водата веднаш се претвора во пареа.  Водата поминува под критичната точка додека </w:t>
      </w:r>
      <w:r w:rsidR="007F6116">
        <w:rPr>
          <w:rFonts w:cs="Calibri"/>
          <w:bdr w:val="nil"/>
          <w:lang w:val="mk-MK" w:bidi="mk-MK"/>
        </w:rPr>
        <w:t xml:space="preserve">се пренесува </w:t>
      </w:r>
      <w:r>
        <w:rPr>
          <w:rFonts w:cs="Calibri"/>
          <w:bdr w:val="nil"/>
          <w:lang w:val="mk-MK" w:bidi="mk-MK"/>
        </w:rPr>
        <w:t>во турбина под висок притисок и влегува во кондензаторот на генераторот, што доведува до користење на помалку гориво и помали емисии на CO</w:t>
      </w:r>
      <w:r>
        <w:rPr>
          <w:rFonts w:cs="Calibri"/>
          <w:bdr w:val="nil"/>
          <w:vertAlign w:val="subscript"/>
          <w:lang w:val="mk-MK" w:bidi="mk-MK"/>
        </w:rPr>
        <w:t xml:space="preserve">2 </w:t>
      </w:r>
      <w:r>
        <w:rPr>
          <w:rFonts w:cs="Calibri"/>
          <w:bdr w:val="nil"/>
          <w:lang w:val="mk-MK" w:bidi="mk-MK"/>
        </w:rPr>
        <w:t xml:space="preserve">. Во ултра суперкритички генератор на пареа се постигнуваат дури и повисоки температури и притисоци, што значи дури и поголема ефикасност и помали емисии на стакленички гасови. </w:t>
      </w:r>
    </w:p>
    <w:p w14:paraId="40C3AB0B" w14:textId="668B74ED" w:rsidR="00B16C23" w:rsidRPr="003005BD" w:rsidRDefault="00B16C04" w:rsidP="00B16C23">
      <w:pPr>
        <w:pStyle w:val="Heading1"/>
        <w:rPr>
          <w:lang w:val="mk-MK"/>
        </w:rPr>
      </w:pPr>
      <w:r>
        <w:rPr>
          <w:rFonts w:eastAsia="Calibri" w:cs="Calibri"/>
          <w:iCs/>
          <w:szCs w:val="40"/>
          <w:bdr w:val="nil"/>
          <w:lang w:val="mk-MK" w:bidi="mk-MK"/>
        </w:rPr>
        <w:br w:type="page"/>
      </w:r>
      <w:bookmarkStart w:id="170" w:name="_Toc444009872"/>
      <w:r>
        <w:rPr>
          <w:rFonts w:eastAsia="Calibri" w:cs="Calibri"/>
          <w:iCs/>
          <w:szCs w:val="40"/>
          <w:bdr w:val="nil"/>
          <w:lang w:val="mk-MK" w:bidi="mk-MK"/>
        </w:rPr>
        <w:lastRenderedPageBreak/>
        <w:t xml:space="preserve">Анекс 4: </w:t>
      </w:r>
      <w:r w:rsidR="003005BD">
        <w:rPr>
          <w:rFonts w:eastAsia="Calibri" w:cs="Calibri"/>
          <w:iCs/>
          <w:szCs w:val="40"/>
          <w:bdr w:val="nil"/>
          <w:lang w:val="mk-MK" w:bidi="mk-MK"/>
        </w:rPr>
        <w:t>Листа за проверка за инспекција во секторот: Големи постројки за согорување</w:t>
      </w:r>
      <w:bookmarkEnd w:id="170"/>
    </w:p>
    <w:p w14:paraId="2D859519" w14:textId="34F15972" w:rsidR="00B16C23" w:rsidRPr="003005BD" w:rsidRDefault="00B16C23" w:rsidP="00B16C23">
      <w:pPr>
        <w:rPr>
          <w:lang w:val="mk-MK"/>
        </w:rPr>
      </w:pPr>
    </w:p>
    <w:p w14:paraId="78B59A39" w14:textId="77777777" w:rsidR="00B16C23" w:rsidRPr="003005BD" w:rsidRDefault="00B16C23" w:rsidP="00B16C23">
      <w:pPr>
        <w:rPr>
          <w:lang w:val="mk-MK"/>
        </w:rPr>
      </w:pPr>
    </w:p>
    <w:p w14:paraId="69EA7B1C" w14:textId="77777777" w:rsidR="00B16C23" w:rsidRPr="003005BD" w:rsidRDefault="00B16C23" w:rsidP="00B16C23">
      <w:pPr>
        <w:rPr>
          <w:lang w:val="mk-MK"/>
        </w:rPr>
      </w:pPr>
    </w:p>
    <w:sectPr w:rsidR="00B16C23" w:rsidRPr="003005BD" w:rsidSect="00B16C23">
      <w:headerReference w:type="default" r:id="rId22"/>
      <w:footerReference w:type="default" r:id="rId23"/>
      <w:headerReference w:type="first" r:id="rId24"/>
      <w:footerReference w:type="first" r:id="rId25"/>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490A5" w14:textId="77777777" w:rsidR="00AB34B7" w:rsidRDefault="00AB34B7">
      <w:pPr>
        <w:spacing w:after="0" w:line="240" w:lineRule="auto"/>
      </w:pPr>
      <w:r>
        <w:separator/>
      </w:r>
    </w:p>
  </w:endnote>
  <w:endnote w:type="continuationSeparator" w:id="0">
    <w:p w14:paraId="19D28BFE" w14:textId="77777777" w:rsidR="00AB34B7" w:rsidRDefault="00AB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utura Std Book">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08F4" w14:textId="77777777" w:rsidR="00ED0444" w:rsidRDefault="00ED0444" w:rsidP="00B16C23">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2A97" w14:textId="77777777" w:rsidR="00ED0444" w:rsidRDefault="00AB34B7" w:rsidP="00B16C23">
    <w:pPr>
      <w:spacing w:after="0"/>
      <w:jc w:val="center"/>
      <w:rPr>
        <w:rFonts w:ascii="Arial" w:hAnsi="Arial" w:cs="Arial"/>
        <w:b/>
        <w:color w:val="262626"/>
        <w:sz w:val="18"/>
        <w:szCs w:val="18"/>
      </w:rPr>
    </w:pPr>
    <w:r>
      <w:rPr>
        <w:rFonts w:ascii="Arial" w:hAnsi="Arial" w:cs="Arial"/>
        <w:b/>
        <w:noProof/>
        <w:color w:val="262626"/>
        <w:sz w:val="18"/>
        <w:szCs w:val="18"/>
        <w:lang w:val="es-ES" w:eastAsia="es-ES"/>
      </w:rPr>
      <w:pict w14:anchorId="2F21355C">
        <v:shapetype id="_x0000_t202" coordsize="21600,21600" o:spt="202" path="m,l,21600r21600,l21600,xe">
          <v:stroke joinstyle="miter"/>
          <v:path gradientshapeok="t" o:connecttype="rect"/>
        </v:shapetype>
        <v:shape id="Text Box 24" o:spid="_x0000_s3077" type="#_x0000_t202" style="position:absolute;left:0;text-align:left;margin-left:170.25pt;margin-top:-20.5pt;width:351.4pt;height:136pt;z-index:251664384;visibility:visible;mso-height-percent:0;mso-wrap-distance-left:9pt;mso-wrap-distance-top:0;mso-wrap-distance-right:9pt;mso-wrap-distance-bottom:0;mso-height-percent:0;mso-width-relative:margin;mso-height-relative:margin;v-text-anchor:top" filled="f" stroked="f">
          <v:textbox>
            <w:txbxContent>
              <w:p w14:paraId="29DA26B1" w14:textId="77777777" w:rsidR="00ED0444" w:rsidRDefault="00ED0444" w:rsidP="00B16C23">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 xml:space="preserve">Проект спроведуван од Шпанија и нејзините партнери во конзорциумот, Холандија и Португалија </w:t>
                </w:r>
              </w:p>
              <w:p w14:paraId="310B28BF" w14:textId="77777777" w:rsidR="00ED0444" w:rsidRPr="00AA2CCB" w:rsidRDefault="00ED0444" w:rsidP="00B16C23">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Контакт за Проектот: Државен инспекторат за животна средина</w:t>
                </w:r>
              </w:p>
              <w:p w14:paraId="1426F610" w14:textId="77777777" w:rsidR="00ED0444" w:rsidRDefault="00ED0444" w:rsidP="00B16C23">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 xml:space="preserve">Адреса :  1000 Скопје, Ул. Кеј Димитар Влахов бр. 4 (старата зграда на Комерцијална Банка, 1-ви кат) </w:t>
                </w:r>
              </w:p>
              <w:p w14:paraId="35BA9303" w14:textId="77777777" w:rsidR="00ED0444" w:rsidRDefault="00ED0444" w:rsidP="00B16C23">
                <w:pPr>
                  <w:pStyle w:val="TEXTEINFO"/>
                  <w:spacing w:after="0"/>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Тел:           +389 (0) 713 777 12</w:t>
                </w:r>
              </w:p>
              <w:p w14:paraId="51A6B3B4" w14:textId="77777777" w:rsidR="00ED0444" w:rsidRPr="00781736" w:rsidRDefault="00ED0444" w:rsidP="00B16C23">
                <w:pPr>
                  <w:pStyle w:val="TEXTEINFO"/>
                  <w:spacing w:after="0"/>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Електронска пошта:</w:t>
                </w:r>
                <w:r>
                  <w:rPr>
                    <w:rFonts w:eastAsia="Helvetica" w:cs="Helvetica"/>
                    <w:b/>
                    <w:bCs/>
                    <w:sz w:val="16"/>
                    <w:szCs w:val="16"/>
                    <w:bdr w:val="nil"/>
                    <w:lang w:val="mk-MK" w:bidi="mk-MK"/>
                  </w:rPr>
                  <w:t xml:space="preserve">  </w:t>
                </w:r>
                <w:r>
                  <w:rPr>
                    <w:rFonts w:ascii="Arial Narrow" w:eastAsia="Arial Narrow" w:hAnsi="Arial Narrow" w:cs="Arial Narrow"/>
                    <w:color w:val="FFFF00"/>
                    <w:sz w:val="16"/>
                    <w:szCs w:val="16"/>
                    <w:bdr w:val="nil"/>
                    <w:lang w:val="mk-MK" w:bidi="mk-MK"/>
                  </w:rPr>
                  <w:t xml:space="preserve">   </w:t>
                </w:r>
                <w:hyperlink r:id="rId1" w:history="1">
                  <w:r>
                    <w:rPr>
                      <w:rFonts w:ascii="Arial Narrow" w:eastAsia="Arial Narrow" w:hAnsi="Arial Narrow" w:cs="Arial Narrow"/>
                      <w:b/>
                      <w:bCs/>
                      <w:color w:val="FFFF00"/>
                      <w:sz w:val="16"/>
                      <w:szCs w:val="16"/>
                      <w:bdr w:val="nil"/>
                      <w:lang w:val="mk-MK" w:bidi="mk-MK"/>
                    </w:rPr>
                    <w:t xml:space="preserve">inspection.cs@gmail.com </w:t>
                  </w:r>
                </w:hyperlink>
              </w:p>
              <w:p w14:paraId="0348E386" w14:textId="77777777" w:rsidR="00ED0444" w:rsidRPr="00AA2CCB" w:rsidRDefault="00ED0444" w:rsidP="00B16C23">
                <w:pPr>
                  <w:pStyle w:val="TEXTEINFO"/>
                  <w:spacing w:after="0"/>
                  <w:rPr>
                    <w:rFonts w:ascii="Arial Narrow" w:eastAsia="Calibri" w:hAnsi="Arial Narrow" w:cs="Arial"/>
                    <w:b/>
                    <w:color w:val="FFFF00"/>
                    <w:sz w:val="16"/>
                    <w:szCs w:val="16"/>
                    <w:lang w:val="en-GB" w:eastAsia="en-US"/>
                  </w:rPr>
                </w:pPr>
              </w:p>
            </w:txbxContent>
          </v:textbox>
        </v:shape>
      </w:pict>
    </w:r>
  </w:p>
  <w:p w14:paraId="0333AEC3" w14:textId="77777777" w:rsidR="00ED0444" w:rsidRDefault="00ED0444" w:rsidP="00B16C23">
    <w:pPr>
      <w:spacing w:after="0"/>
      <w:jc w:val="center"/>
      <w:rPr>
        <w:rFonts w:ascii="Arial" w:hAnsi="Arial" w:cs="Arial"/>
        <w:b/>
        <w:color w:val="262626"/>
        <w:sz w:val="18"/>
        <w:szCs w:val="18"/>
      </w:rPr>
    </w:pPr>
    <w:r>
      <w:rPr>
        <w:rFonts w:ascii="Arial" w:hAnsi="Arial" w:cs="Arial"/>
        <w:b/>
        <w:noProof/>
        <w:color w:val="262626"/>
        <w:sz w:val="18"/>
        <w:szCs w:val="18"/>
        <w:lang w:val="es-ES" w:eastAsia="es-ES"/>
      </w:rPr>
      <mc:AlternateContent>
        <mc:Choice Requires="wps">
          <w:drawing>
            <wp:anchor distT="0" distB="0" distL="114300" distR="114300" simplePos="0" relativeHeight="251662336" behindDoc="0" locked="0" layoutInCell="1" allowOverlap="1" wp14:anchorId="2808C3F8" wp14:editId="7352C7C0">
              <wp:simplePos x="0" y="0"/>
              <wp:positionH relativeFrom="column">
                <wp:posOffset>-890270</wp:posOffset>
              </wp:positionH>
              <wp:positionV relativeFrom="paragraph">
                <wp:posOffset>-411480</wp:posOffset>
              </wp:positionV>
              <wp:extent cx="8769985" cy="838835"/>
              <wp:effectExtent l="5080" t="7620" r="698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37E01FA" id="Rectangle 22" o:spid="_x0000_s1026" style="position:absolute;margin-left:-70.1pt;margin-top:-32.4pt;width:690.55pt;height:6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dUJAIAAD0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AbsN1QkAgAAPQQAAA4AAAAAAAAAAAAAAAAALgIAAGRycy9lMm9Eb2Mu&#10;eG1sUEsBAi0AFAAGAAgAAAAhAGKaaF3eAAAADAEAAA8AAAAAAAAAAAAAAAAAfgQAAGRycy9kb3du&#10;cmV2LnhtbFBLBQYAAAAABAAEAPMAAACJBQAAAAA=&#10;" fillcolor="#22518a"/>
          </w:pict>
        </mc:Fallback>
      </mc:AlternateContent>
    </w:r>
    <w:r w:rsidR="00AB34B7">
      <w:rPr>
        <w:rFonts w:ascii="Arial" w:hAnsi="Arial" w:cs="Arial"/>
        <w:b/>
        <w:noProof/>
        <w:color w:val="262626"/>
        <w:sz w:val="18"/>
        <w:szCs w:val="18"/>
        <w:lang w:val="es-ES" w:eastAsia="es-ES"/>
      </w:rPr>
      <w:pict w14:anchorId="49C5F59A">
        <v:shape id="Text Box 25" o:spid="_x0000_s3079" type="#_x0000_t202" style="position:absolute;left:0;text-align:left;margin-left:-70.1pt;margin-top:-51.05pt;width:275pt;height:126.8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ed="f" fillcolor="#23538d" stroked="f" strokeweight=".25pt">
          <v:textbox>
            <w:txbxContent>
              <w:p w14:paraId="1645BEA5" w14:textId="77777777" w:rsidR="00ED0444" w:rsidRDefault="00ED0444" w:rsidP="00B16C2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0CAF86E7" w14:textId="77777777" w:rsidR="00ED0444" w:rsidRPr="0083763E" w:rsidRDefault="00ED0444" w:rsidP="00B16C23">
                <w:pPr>
                  <w:tabs>
                    <w:tab w:val="left" w:pos="0"/>
                  </w:tabs>
                  <w:spacing w:line="240" w:lineRule="auto"/>
                  <w:rPr>
                    <w:rFonts w:cs="Arial"/>
                    <w:color w:val="0F243E"/>
                    <w:sz w:val="16"/>
                    <w:szCs w:val="16"/>
                  </w:rPr>
                </w:pPr>
                <w:r w:rsidRPr="00744443">
                  <w:rPr>
                    <w:rFonts w:ascii="Arial Narrow" w:hAnsi="Arial Narrow" w:cs="Arial"/>
                    <w:b/>
                    <w:noProof/>
                    <w:color w:val="FFFF00"/>
                    <w:sz w:val="20"/>
                    <w:szCs w:val="20"/>
                    <w:lang w:val="es-ES" w:eastAsia="es-ES"/>
                  </w:rPr>
                  <w:drawing>
                    <wp:inline distT="0" distB="0" distL="0" distR="0" wp14:anchorId="56FE83EF" wp14:editId="7D18470E">
                      <wp:extent cx="716280" cy="48006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480060"/>
                              </a:xfrm>
                              <a:prstGeom prst="rect">
                                <a:avLst/>
                              </a:prstGeom>
                              <a:blipFill dpi="0" rotWithShape="1">
                                <a:blip/>
                                <a:srcRect/>
                                <a:tile tx="0" ty="0" sx="100000" sy="100000" flip="none" algn="tl"/>
                              </a:blipFill>
                              <a:ln>
                                <a:noFill/>
                              </a:ln>
                            </pic:spPr>
                          </pic:pic>
                        </a:graphicData>
                      </a:graphic>
                    </wp:inline>
                  </w:drawing>
                </w:r>
                <w:r>
                  <w:rPr>
                    <w:rFonts w:ascii="Arial Narrow" w:eastAsia="Arial Narrow" w:hAnsi="Arial Narrow" w:cs="Arial Narrow"/>
                    <w:b/>
                    <w:bCs/>
                    <w:noProof/>
                    <w:color w:val="FFFF00"/>
                    <w:sz w:val="20"/>
                    <w:szCs w:val="20"/>
                    <w:bdr w:val="nil"/>
                    <w:lang w:val="mk-MK" w:eastAsia="es-ES" w:bidi="mk-MK"/>
                  </w:rPr>
                  <w:t xml:space="preserve">    Проектот го финансира Европската Унија</w:t>
                </w:r>
                <w:r>
                  <w:rPr>
                    <w:rFonts w:cs="Calibri"/>
                    <w:noProof/>
                    <w:color w:val="0F243E"/>
                    <w:sz w:val="16"/>
                    <w:szCs w:val="16"/>
                    <w:bdr w:val="nil"/>
                    <w:lang w:val="mk-MK" w:eastAsia="es-ES" w:bidi="mk-MK"/>
                  </w:rPr>
                  <w:t xml:space="preserve"> </w:t>
                </w:r>
              </w:p>
              <w:p w14:paraId="44D6FFEB" w14:textId="77777777" w:rsidR="00ED0444" w:rsidRDefault="00ED0444" w:rsidP="00B16C23">
                <w:pPr>
                  <w:spacing w:after="0"/>
                  <w:rPr>
                    <w:rFonts w:ascii="Arial Narrow" w:hAnsi="Arial Narrow" w:cs="Arial"/>
                    <w:b/>
                    <w:color w:val="FFFF00"/>
                    <w:sz w:val="20"/>
                    <w:szCs w:val="20"/>
                  </w:rPr>
                </w:pPr>
              </w:p>
              <w:p w14:paraId="0724B676" w14:textId="77777777" w:rsidR="00ED0444" w:rsidRDefault="00ED0444" w:rsidP="00B16C23">
                <w:pPr>
                  <w:spacing w:after="0"/>
                  <w:rPr>
                    <w:rFonts w:ascii="Arial Narrow" w:hAnsi="Arial Narrow" w:cs="Arial"/>
                    <w:b/>
                    <w:color w:val="FFFF00"/>
                    <w:sz w:val="20"/>
                    <w:szCs w:val="20"/>
                  </w:rPr>
                </w:pPr>
              </w:p>
              <w:p w14:paraId="26788969" w14:textId="77777777" w:rsidR="00ED0444" w:rsidRPr="009D3F51" w:rsidRDefault="00ED0444" w:rsidP="00B16C23">
                <w:pPr>
                  <w:spacing w:after="0"/>
                  <w:rPr>
                    <w:color w:val="0000FF"/>
                  </w:rPr>
                </w:pPr>
                <w:r>
                  <w:rPr>
                    <w:rFonts w:ascii="Arial Narrow" w:hAnsi="Arial Narrow" w:cs="Arial"/>
                    <w:b/>
                    <w:color w:val="FFFF00"/>
                    <w:sz w:val="20"/>
                    <w:szCs w:val="20"/>
                  </w:rPr>
                  <w:t xml:space="preserve">   </w:t>
                </w:r>
              </w:p>
              <w:p w14:paraId="793C51FD" w14:textId="77777777" w:rsidR="00ED0444" w:rsidRPr="009D3F51" w:rsidRDefault="00ED0444" w:rsidP="00B16C23">
                <w:pPr>
                  <w:rPr>
                    <w:color w:val="0000FF"/>
                  </w:rPr>
                </w:pPr>
              </w:p>
            </w:txbxContent>
          </v:textbox>
        </v:shape>
      </w:pict>
    </w:r>
    <w:r>
      <w:rPr>
        <w:rFonts w:ascii="Arial" w:hAnsi="Arial" w:cs="Arial"/>
        <w:b/>
        <w:color w:val="262626"/>
        <w:sz w:val="18"/>
        <w:szCs w:val="18"/>
      </w:rPr>
      <w:t xml:space="preserve">   </w:t>
    </w:r>
  </w:p>
  <w:p w14:paraId="70C42263" w14:textId="77777777" w:rsidR="00ED0444" w:rsidRDefault="00ED0444" w:rsidP="00B16C23">
    <w:pPr>
      <w:spacing w:after="0"/>
      <w:jc w:val="center"/>
      <w:rPr>
        <w:rFonts w:ascii="Arial" w:hAnsi="Arial" w:cs="Arial"/>
        <w:b/>
        <w:color w:val="262626"/>
        <w:sz w:val="18"/>
        <w:szCs w:val="18"/>
      </w:rPr>
    </w:pPr>
  </w:p>
  <w:p w14:paraId="2F682EF9" w14:textId="77777777" w:rsidR="00ED0444" w:rsidRDefault="00ED0444" w:rsidP="00B16C23">
    <w:pPr>
      <w:spacing w:after="0"/>
      <w:jc w:val="center"/>
      <w:rPr>
        <w:rFonts w:ascii="Arial" w:hAnsi="Arial" w:cs="Arial"/>
        <w:b/>
        <w:color w:val="26262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D109" w14:textId="77777777" w:rsidR="00AB34B7" w:rsidRDefault="00AB34B7" w:rsidP="00B16C23">
      <w:pPr>
        <w:spacing w:after="0" w:line="240" w:lineRule="auto"/>
      </w:pPr>
      <w:r>
        <w:separator/>
      </w:r>
    </w:p>
  </w:footnote>
  <w:footnote w:type="continuationSeparator" w:id="0">
    <w:p w14:paraId="550E37E8" w14:textId="77777777" w:rsidR="00AB34B7" w:rsidRDefault="00AB34B7" w:rsidP="00B16C23">
      <w:pPr>
        <w:spacing w:after="0" w:line="240" w:lineRule="auto"/>
      </w:pPr>
      <w:r>
        <w:continuationSeparator/>
      </w:r>
    </w:p>
  </w:footnote>
  <w:footnote w:id="1">
    <w:p w14:paraId="1E1308B3" w14:textId="77777777" w:rsidR="00ED0444" w:rsidRPr="0024264D" w:rsidRDefault="00ED0444" w:rsidP="0068028B">
      <w:pPr>
        <w:pStyle w:val="FootnoteText"/>
        <w:rPr>
          <w:sz w:val="16"/>
          <w:szCs w:val="16"/>
          <w:lang w:val="mk-MK"/>
        </w:rPr>
      </w:pPr>
      <w:r w:rsidRPr="0024264D">
        <w:rPr>
          <w:rStyle w:val="FootnoteReference"/>
          <w:sz w:val="16"/>
          <w:szCs w:val="16"/>
        </w:rPr>
        <w:footnoteRef/>
      </w:r>
      <w:r w:rsidRPr="0024264D">
        <w:rPr>
          <w:sz w:val="16"/>
          <w:szCs w:val="16"/>
        </w:rPr>
        <w:t xml:space="preserve"> </w:t>
      </w:r>
      <w:r w:rsidRPr="0024264D">
        <w:rPr>
          <w:sz w:val="16"/>
          <w:szCs w:val="16"/>
          <w:lang w:val="mk-MK"/>
        </w:rPr>
        <w:t>Чл.15.4 од Директивата за емисии во индустријата е дадено следното:</w:t>
      </w:r>
      <w:r w:rsidRPr="0024264D">
        <w:rPr>
          <w:sz w:val="16"/>
          <w:szCs w:val="16"/>
        </w:rPr>
        <w:t xml:space="preserve"> </w:t>
      </w:r>
    </w:p>
    <w:p w14:paraId="5B417219" w14:textId="77777777" w:rsidR="00ED0444" w:rsidRPr="0024264D" w:rsidRDefault="00ED0444" w:rsidP="0068028B">
      <w:pPr>
        <w:pStyle w:val="FootnoteText"/>
        <w:rPr>
          <w:sz w:val="16"/>
          <w:szCs w:val="16"/>
          <w:lang w:val="mk-MK"/>
        </w:rPr>
      </w:pPr>
      <w:r w:rsidRPr="0024264D">
        <w:rPr>
          <w:sz w:val="16"/>
          <w:szCs w:val="16"/>
          <w:lang w:val="mk-MK"/>
        </w:rPr>
        <w:t>Надлежниот орган може, во одредени случаи, да воспостави помалку строги гранични вредности за емисија од тие пропишаните во НДТ-AELs (Поврзани нивоа на емисија). Такво отстапување може да се применува само кога проценката покажува дека постигнувањето на нивоата на емисии поврзани со НДТ како што е опишано во заклучоците на НДТ, ќе доведе до несразмерно повисоки трошоци во однос на придобивките за животната средина како резултат на:</w:t>
      </w:r>
    </w:p>
    <w:p w14:paraId="78C31653" w14:textId="77777777" w:rsidR="00ED0444" w:rsidRPr="000800A7" w:rsidRDefault="00ED0444" w:rsidP="0068028B">
      <w:pPr>
        <w:pStyle w:val="FootnoteText"/>
        <w:rPr>
          <w:sz w:val="16"/>
          <w:szCs w:val="16"/>
          <w:lang w:val="mk-MK"/>
        </w:rPr>
      </w:pPr>
      <w:r w:rsidRPr="000800A7">
        <w:rPr>
          <w:sz w:val="16"/>
          <w:szCs w:val="16"/>
          <w:lang w:val="mk-MK"/>
        </w:rPr>
        <w:t>(a)</w:t>
      </w:r>
      <w:r>
        <w:rPr>
          <w:sz w:val="16"/>
          <w:szCs w:val="16"/>
          <w:lang w:val="mk-MK"/>
        </w:rPr>
        <w:t xml:space="preserve"> </w:t>
      </w:r>
      <w:r w:rsidRPr="0024264D">
        <w:rPr>
          <w:sz w:val="16"/>
          <w:szCs w:val="16"/>
          <w:lang w:val="mk-MK"/>
        </w:rPr>
        <w:t xml:space="preserve">географска локација или локални услови на животната средина на конкретната инсталација; или </w:t>
      </w:r>
    </w:p>
    <w:p w14:paraId="6F3C67E9" w14:textId="77777777" w:rsidR="00ED0444" w:rsidRPr="000800A7" w:rsidRDefault="00ED0444" w:rsidP="0068028B">
      <w:pPr>
        <w:pStyle w:val="FootnoteText"/>
        <w:rPr>
          <w:sz w:val="16"/>
          <w:szCs w:val="16"/>
          <w:lang w:val="mk-MK"/>
        </w:rPr>
      </w:pPr>
      <w:r w:rsidRPr="000800A7">
        <w:rPr>
          <w:sz w:val="16"/>
          <w:szCs w:val="16"/>
          <w:lang w:val="mk-MK"/>
        </w:rPr>
        <w:t>(b)</w:t>
      </w:r>
      <w:r>
        <w:rPr>
          <w:sz w:val="16"/>
          <w:szCs w:val="16"/>
          <w:lang w:val="mk-MK"/>
        </w:rPr>
        <w:t xml:space="preserve"> </w:t>
      </w:r>
      <w:r w:rsidRPr="0024264D">
        <w:rPr>
          <w:sz w:val="16"/>
          <w:szCs w:val="16"/>
          <w:lang w:val="mk-MK"/>
        </w:rPr>
        <w:t>технички карактеристики на конкретната инсталација</w:t>
      </w:r>
      <w:r w:rsidRPr="000800A7">
        <w:rPr>
          <w:sz w:val="16"/>
          <w:szCs w:val="16"/>
          <w:lang w:val="mk-MK"/>
        </w:rPr>
        <w:t>.</w:t>
      </w:r>
    </w:p>
    <w:p w14:paraId="7B6B35ED" w14:textId="77777777" w:rsidR="00ED0444" w:rsidRPr="0024264D" w:rsidRDefault="00ED0444" w:rsidP="0068028B">
      <w:pPr>
        <w:pStyle w:val="FootnoteText"/>
        <w:rPr>
          <w:sz w:val="16"/>
          <w:szCs w:val="16"/>
          <w:lang w:val="mk-MK"/>
        </w:rPr>
      </w:pPr>
      <w:r w:rsidRPr="0024264D">
        <w:rPr>
          <w:sz w:val="16"/>
          <w:szCs w:val="16"/>
          <w:lang w:val="mk-MK"/>
        </w:rPr>
        <w:t>Надлежниот орган во анекс на дозволата ќе ги документираат причините за примената на отстапувањето вклучувајќи го и резултатот од оценувањето и оправданоста за изречените услови</w:t>
      </w:r>
      <w:r w:rsidRPr="000800A7">
        <w:rPr>
          <w:sz w:val="16"/>
          <w:szCs w:val="16"/>
          <w:lang w:val="mk-MK"/>
        </w:rPr>
        <w:t>.</w:t>
      </w:r>
    </w:p>
    <w:p w14:paraId="5B00AEAC" w14:textId="77777777" w:rsidR="00ED0444" w:rsidRPr="0024264D" w:rsidRDefault="00ED0444" w:rsidP="0068028B">
      <w:pPr>
        <w:pStyle w:val="FootnoteText"/>
        <w:rPr>
          <w:sz w:val="16"/>
          <w:szCs w:val="16"/>
          <w:lang w:val="mk-MK"/>
        </w:rPr>
      </w:pPr>
      <w:r w:rsidRPr="0024264D">
        <w:rPr>
          <w:sz w:val="16"/>
          <w:szCs w:val="16"/>
          <w:lang w:val="mk-MK"/>
        </w:rPr>
        <w:t>Граничните вредности на емисија поставени во согласност со отстапувањето, сепак нема да ги надминуваат граничните вредности на емисија утврдени во анексите на IED, онаму каде што е применливо.</w:t>
      </w:r>
    </w:p>
    <w:p w14:paraId="4439D3C7" w14:textId="77777777" w:rsidR="00ED0444" w:rsidRPr="0024264D" w:rsidRDefault="00ED0444" w:rsidP="0068028B">
      <w:pPr>
        <w:pStyle w:val="FootnoteText"/>
        <w:rPr>
          <w:sz w:val="16"/>
          <w:szCs w:val="16"/>
          <w:lang w:val="mk-MK"/>
        </w:rPr>
      </w:pPr>
      <w:r w:rsidRPr="0024264D">
        <w:rPr>
          <w:sz w:val="16"/>
          <w:szCs w:val="16"/>
          <w:lang w:val="mk-MK"/>
        </w:rPr>
        <w:t>Надлежниот орган, во секој случај ќе се осигура дека не е предизвикано значително загадување и дека е постигнат висок степен на заштита на животната средина во целина.</w:t>
      </w:r>
    </w:p>
    <w:p w14:paraId="797E4438" w14:textId="77777777" w:rsidR="00ED0444" w:rsidRPr="000852F1" w:rsidRDefault="00ED0444" w:rsidP="0068028B">
      <w:pPr>
        <w:pStyle w:val="FootnoteText"/>
        <w:rPr>
          <w:sz w:val="18"/>
          <w:szCs w:val="18"/>
          <w:lang w:val="mk-MK"/>
        </w:rPr>
      </w:pPr>
      <w:r w:rsidRPr="0024264D">
        <w:rPr>
          <w:sz w:val="16"/>
          <w:szCs w:val="16"/>
          <w:lang w:val="mk-MK"/>
        </w:rPr>
        <w:t>Надлежниот орган ќе ја</w:t>
      </w:r>
      <w:r>
        <w:rPr>
          <w:sz w:val="16"/>
          <w:szCs w:val="16"/>
          <w:lang w:val="mk-MK"/>
        </w:rPr>
        <w:t xml:space="preserve"> пре</w:t>
      </w:r>
      <w:r w:rsidRPr="0024264D">
        <w:rPr>
          <w:sz w:val="16"/>
          <w:szCs w:val="16"/>
          <w:lang w:val="mk-MK"/>
        </w:rPr>
        <w:t>цени повторно примената на отстапувањето како дел од секоја преиспитување на условите од дозволата согласно со член 21 од IED</w:t>
      </w:r>
    </w:p>
    <w:p w14:paraId="7C0C0AC2" w14:textId="77777777" w:rsidR="00ED0444" w:rsidRPr="000800A7" w:rsidRDefault="00ED0444" w:rsidP="0068028B">
      <w:pPr>
        <w:pStyle w:val="FootnoteText"/>
        <w:rPr>
          <w:lang w:val="mk-M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5760" w14:textId="77777777" w:rsidR="00ED0444" w:rsidRDefault="00ED0444">
    <w:pPr>
      <w:pStyle w:val="Header"/>
    </w:pPr>
  </w:p>
  <w:p w14:paraId="3AB4C2E2" w14:textId="77777777" w:rsidR="00ED0444" w:rsidRDefault="00ED0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92B86" w14:textId="77777777" w:rsidR="00ED0444" w:rsidRDefault="00AB34B7" w:rsidP="00B16C23">
    <w:pPr>
      <w:spacing w:after="0"/>
      <w:jc w:val="center"/>
      <w:rPr>
        <w:rFonts w:ascii="Arial" w:hAnsi="Arial" w:cs="Arial"/>
        <w:b/>
        <w:sz w:val="20"/>
        <w:szCs w:val="20"/>
      </w:rPr>
    </w:pPr>
    <w:r>
      <w:rPr>
        <w:rFonts w:ascii="Arial" w:hAnsi="Arial" w:cs="Arial"/>
        <w:b/>
        <w:noProof/>
        <w:sz w:val="20"/>
        <w:szCs w:val="20"/>
        <w:lang w:val="es-ES" w:eastAsia="es-ES"/>
      </w:rPr>
      <w:pict w14:anchorId="69F4BDA1">
        <v:shapetype id="_x0000_t202" coordsize="21600,21600" o:spt="202" path="m,l,21600r21600,l21600,xe">
          <v:stroke joinstyle="miter"/>
          <v:path gradientshapeok="t" o:connecttype="rect"/>
        </v:shapetype>
        <v:shape id="Text Box 20" o:spid="_x0000_s3073" type="#_x0000_t202" style="position:absolute;left:0;text-align:left;margin-left:34.9pt;margin-top:9.45pt;width:403.5pt;height:60.55pt;z-index:251661312;visibility:visible;mso-wrap-style:square;mso-width-percent:0;mso-height-percent:0;mso-wrap-distance-left:9pt;mso-wrap-distance-top:0;mso-wrap-distance-right:9pt;mso-wrap-distance-bottom:0;mso-width-percent:0;mso-height-percent:0;mso-width-relative:margin;mso-height-relative:margin;v-text-anchor:top" filled="f" stroked="f">
          <v:textbox>
            <w:txbxContent>
              <w:p w14:paraId="07F22D08" w14:textId="77777777" w:rsidR="00ED0444" w:rsidRPr="00744443" w:rsidRDefault="00ED0444" w:rsidP="00B16C23">
                <w:pPr>
                  <w:spacing w:after="0"/>
                  <w:jc w:val="center"/>
                  <w:rPr>
                    <w:rFonts w:ascii="Arial Narrow" w:hAnsi="Arial Narrow" w:cs="Arial"/>
                    <w:b/>
                    <w:color w:val="FFFFFF"/>
                    <w:sz w:val="28"/>
                    <w:szCs w:val="28"/>
                  </w:rPr>
                </w:pPr>
                <w:r>
                  <w:rPr>
                    <w:rFonts w:ascii="Arial Narrow" w:eastAsia="Arial Narrow" w:hAnsi="Arial Narrow" w:cs="Arial Narrow"/>
                    <w:b/>
                    <w:bCs/>
                    <w:color w:val="FFFFFF"/>
                    <w:sz w:val="28"/>
                    <w:szCs w:val="28"/>
                    <w:bdr w:val="nil"/>
                    <w:lang w:val="mk-MK" w:bidi="mk-MK"/>
                  </w:rPr>
                  <w:t>Твининг Проект „Зајакнување на административниот капацитет за спроведување на законодавството од животната средина на централно и локално ниво“</w:t>
                </w:r>
              </w:p>
              <w:p w14:paraId="70B65290" w14:textId="77777777" w:rsidR="00ED0444" w:rsidRPr="00744443" w:rsidRDefault="00ED0444" w:rsidP="00B16C23">
                <w:pPr>
                  <w:rPr>
                    <w:b/>
                    <w:color w:val="FFFFFF"/>
                  </w:rPr>
                </w:pPr>
              </w:p>
            </w:txbxContent>
          </v:textbox>
        </v:shape>
      </w:pict>
    </w:r>
    <w:r w:rsidR="00ED0444">
      <w:rPr>
        <w:rFonts w:ascii="Times New Roman" w:hAnsi="Times New Roman"/>
        <w:noProof/>
        <w:sz w:val="24"/>
        <w:szCs w:val="24"/>
        <w:lang w:val="es-ES" w:eastAsia="es-ES"/>
      </w:rPr>
      <w:drawing>
        <wp:anchor distT="36576" distB="36576" distL="36576" distR="36576" simplePos="0" relativeHeight="251667456" behindDoc="0" locked="0" layoutInCell="1" allowOverlap="1" wp14:anchorId="6D1BA725" wp14:editId="58E83897">
          <wp:simplePos x="0" y="0"/>
          <wp:positionH relativeFrom="column">
            <wp:posOffset>9466580</wp:posOffset>
          </wp:positionH>
          <wp:positionV relativeFrom="paragraph">
            <wp:posOffset>144145</wp:posOffset>
          </wp:positionV>
          <wp:extent cx="1224280" cy="758825"/>
          <wp:effectExtent l="0" t="0" r="0" b="0"/>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anchor>
      </w:drawing>
    </w:r>
    <w:r>
      <w:rPr>
        <w:rFonts w:ascii="Arial" w:hAnsi="Arial" w:cs="Arial"/>
        <w:b/>
        <w:noProof/>
        <w:sz w:val="20"/>
        <w:szCs w:val="20"/>
        <w:lang w:val="es-ES" w:eastAsia="es-ES"/>
      </w:rPr>
      <w:pict w14:anchorId="5FCFE653">
        <v:rect id="Rectangle 15" o:spid="_x0000_s3074" style="position:absolute;left:0;text-align:left;margin-left:-66.35pt;margin-top:-18.3pt;width:588pt;height:106.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22518a">
          <v:textbox>
            <w:txbxContent>
              <w:p w14:paraId="5E671A22" w14:textId="77777777" w:rsidR="00ED0444" w:rsidRDefault="00ED0444"/>
            </w:txbxContent>
          </v:textbox>
        </v:rect>
      </w:pict>
    </w:r>
    <w:r w:rsidR="00ED0444">
      <w:rPr>
        <w:rFonts w:ascii="Arial" w:hAnsi="Arial" w:cs="Arial"/>
        <w:b/>
        <w:sz w:val="20"/>
        <w:szCs w:val="20"/>
      </w:rPr>
      <w:t xml:space="preserve">      </w:t>
    </w:r>
  </w:p>
  <w:p w14:paraId="7B87656E" w14:textId="77777777" w:rsidR="00ED0444" w:rsidRPr="00603F25" w:rsidRDefault="00AB34B7" w:rsidP="00B16C23">
    <w:pPr>
      <w:spacing w:before="120" w:after="0"/>
      <w:jc w:val="center"/>
      <w:rPr>
        <w:rFonts w:ascii="Arial" w:hAnsi="Arial" w:cs="Arial"/>
        <w:sz w:val="20"/>
        <w:szCs w:val="20"/>
      </w:rPr>
    </w:pPr>
    <w:r>
      <w:rPr>
        <w:rFonts w:ascii="Arial" w:hAnsi="Arial" w:cs="Arial"/>
        <w:b/>
        <w:noProof/>
        <w:sz w:val="20"/>
        <w:szCs w:val="20"/>
        <w:lang w:val="es-ES" w:eastAsia="es-ES"/>
      </w:rPr>
      <w:pict w14:anchorId="45C3E674">
        <v:rect id="Rectangle 28" o:spid="_x0000_s3075" style="position:absolute;left:0;text-align:left;margin-left:433.9pt;margin-top:6pt;width:80.25pt;height:54.7pt;z-index:251666432;visibility:visible;mso-wrap-style:square;mso-width-percent:0;mso-height-percent:0;mso-wrap-distance-left:9pt;mso-wrap-distance-top:0;mso-wrap-distance-right:9pt;mso-wrap-distance-bottom:0;mso-width-percent:0;mso-height-percent:0;mso-width-relative:page;mso-height-relative:page;v-text-anchor:top" filled="f" stroked="f">
          <v:textbox>
            <w:txbxContent>
              <w:p w14:paraId="42BAE326" w14:textId="77777777" w:rsidR="00ED0444" w:rsidRDefault="00ED0444">
                <w:r w:rsidRPr="00744443">
                  <w:rPr>
                    <w:noProof/>
                    <w:lang w:val="es-ES" w:eastAsia="es-ES"/>
                  </w:rPr>
                  <w:drawing>
                    <wp:inline distT="0" distB="0" distL="0" distR="0" wp14:anchorId="1D6409EF" wp14:editId="21DDD9F0">
                      <wp:extent cx="754380" cy="487680"/>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487680"/>
                              </a:xfrm>
                              <a:prstGeom prst="rect">
                                <a:avLst/>
                              </a:prstGeom>
                              <a:noFill/>
                              <a:ln>
                                <a:noFill/>
                              </a:ln>
                            </pic:spPr>
                          </pic:pic>
                        </a:graphicData>
                      </a:graphic>
                    </wp:inline>
                  </w:drawing>
                </w:r>
              </w:p>
            </w:txbxContent>
          </v:textbox>
        </v:rect>
      </w:pict>
    </w:r>
    <w:r w:rsidR="00ED0444">
      <w:rPr>
        <w:rFonts w:ascii="Arial" w:hAnsi="Arial" w:cs="Arial"/>
        <w:b/>
        <w:noProof/>
        <w:sz w:val="20"/>
        <w:szCs w:val="20"/>
        <w:lang w:val="es-ES" w:eastAsia="es-ES"/>
      </w:rPr>
      <w:drawing>
        <wp:anchor distT="0" distB="0" distL="114300" distR="114300" simplePos="0" relativeHeight="251659264" behindDoc="0" locked="0" layoutInCell="1" allowOverlap="1" wp14:anchorId="076CC3FD" wp14:editId="72A77E33">
          <wp:simplePos x="0" y="0"/>
          <wp:positionH relativeFrom="column">
            <wp:posOffset>-614045</wp:posOffset>
          </wp:positionH>
          <wp:positionV relativeFrom="paragraph">
            <wp:posOffset>47625</wp:posOffset>
          </wp:positionV>
          <wp:extent cx="814070" cy="542925"/>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a:ln>
                    <a:noFill/>
                  </a:ln>
                </pic:spPr>
              </pic:pic>
            </a:graphicData>
          </a:graphic>
        </wp:anchor>
      </w:drawing>
    </w:r>
    <w:r w:rsidR="00ED0444" w:rsidRPr="00603F25">
      <w:rPr>
        <w:rFonts w:ascii="Arial" w:hAnsi="Arial" w:cs="Arial"/>
        <w:sz w:val="20"/>
        <w:szCs w:val="20"/>
      </w:rPr>
      <w:t xml:space="preserve">     </w:t>
    </w:r>
  </w:p>
  <w:p w14:paraId="144B1E2E" w14:textId="77777777" w:rsidR="00ED0444" w:rsidRDefault="00AB34B7">
    <w:pPr>
      <w:pStyle w:val="Header"/>
    </w:pPr>
    <w:r>
      <w:rPr>
        <w:rFonts w:ascii="Arial" w:hAnsi="Arial" w:cs="Arial"/>
        <w:b/>
        <w:noProof/>
        <w:sz w:val="20"/>
        <w:szCs w:val="20"/>
        <w:lang w:val="es-ES" w:eastAsia="es-ES"/>
      </w:rPr>
      <w:pict w14:anchorId="1EA15AB3">
        <v:rect id="Rectangle 17" o:spid="_x0000_s3076" style="position:absolute;left:0;text-align:left;margin-left:-67.55pt;margin-top:51.25pt;width:588pt;height:13.6pt;z-index:251660288;visibility:visible;mso-wrap-style:square;mso-width-percent:0;mso-height-percent:0;mso-wrap-distance-left:9pt;mso-wrap-distance-top:0;mso-wrap-distance-right:9pt;mso-wrap-distance-bottom:0;mso-width-percent:0;mso-height-percent:0;mso-width-relative:page;mso-height-relative:page;v-text-anchor:top" fillcolor="#fc0" stroked="f">
          <v:textbox>
            <w:txbxContent>
              <w:p w14:paraId="6A33C401" w14:textId="77777777" w:rsidR="00ED0444" w:rsidRPr="00781736" w:rsidRDefault="00ED0444" w:rsidP="00B16C23">
                <w:pPr>
                  <w:rPr>
                    <w:rFonts w:ascii="Arial" w:hAnsi="Arial" w:cs="Aharoni"/>
                    <w:b/>
                    <w:color w:val="000000"/>
                    <w:sz w:val="14"/>
                    <w:szCs w:val="14"/>
                  </w:rPr>
                </w:pPr>
                <w:r>
                  <w:rPr>
                    <w:rFonts w:ascii="Arial" w:eastAsia="Arial" w:hAnsi="Arial" w:cs="Arial"/>
                    <w:b/>
                    <w:bCs/>
                    <w:color w:val="000000"/>
                    <w:sz w:val="12"/>
                    <w:szCs w:val="12"/>
                    <w:bdr w:val="nil"/>
                    <w:lang w:val="mk-MK" w:bidi="mk-MK"/>
                  </w:rPr>
                  <w:t xml:space="preserve">                                                                                                                                         </w:t>
                </w:r>
                <w:r>
                  <w:rPr>
                    <w:rFonts w:ascii="Arial" w:eastAsia="Arial" w:hAnsi="Arial" w:cs="Arial"/>
                    <w:b/>
                    <w:bCs/>
                    <w:color w:val="000000"/>
                    <w:sz w:val="14"/>
                    <w:szCs w:val="14"/>
                    <w:bdr w:val="nil"/>
                    <w:lang w:val="mk-MK" w:bidi="mk-MK"/>
                  </w:rPr>
                  <w:t xml:space="preserve">Програма ИПА 2010 на Европската Унија </w:t>
                </w:r>
              </w:p>
              <w:p w14:paraId="5EF33D1E" w14:textId="77777777" w:rsidR="00ED0444" w:rsidRPr="00744443" w:rsidRDefault="00ED0444" w:rsidP="00B16C23">
                <w:pPr>
                  <w:jc w:val="center"/>
                  <w:rPr>
                    <w:rFonts w:ascii="Arial" w:hAnsi="Arial" w:cs="Aharoni"/>
                    <w:b/>
                    <w:color w:val="000000"/>
                    <w:sz w:val="12"/>
                    <w:szCs w:val="12"/>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76"/>
    <w:multiLevelType w:val="hybridMultilevel"/>
    <w:tmpl w:val="F044E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276C4"/>
    <w:multiLevelType w:val="hybridMultilevel"/>
    <w:tmpl w:val="41BA109A"/>
    <w:lvl w:ilvl="0" w:tplc="CB0661B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13D30"/>
    <w:multiLevelType w:val="multilevel"/>
    <w:tmpl w:val="314220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EE342F3"/>
    <w:multiLevelType w:val="hybridMultilevel"/>
    <w:tmpl w:val="16BA5C4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030"/>
    <w:multiLevelType w:val="hybridMultilevel"/>
    <w:tmpl w:val="7E28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04D"/>
    <w:multiLevelType w:val="multilevel"/>
    <w:tmpl w:val="FBE2A63A"/>
    <w:lvl w:ilvl="0">
      <w:start w:val="2"/>
      <w:numFmt w:val="decimal"/>
      <w:pStyle w:val="ListDash1"/>
      <w:lvlText w:val="%1"/>
      <w:lvlJc w:val="left"/>
      <w:pPr>
        <w:ind w:left="420" w:hanging="420"/>
      </w:pPr>
      <w:rPr>
        <w:rFonts w:hint="default"/>
        <w:lang w:val="en-GB"/>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396C5D"/>
    <w:multiLevelType w:val="hybridMultilevel"/>
    <w:tmpl w:val="35321AB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51653"/>
    <w:multiLevelType w:val="hybridMultilevel"/>
    <w:tmpl w:val="2C9005EA"/>
    <w:lvl w:ilvl="0" w:tplc="2E12D208">
      <w:start w:val="1"/>
      <w:numFmt w:val="bullet"/>
      <w:lvlText w:val=""/>
      <w:lvlJc w:val="left"/>
      <w:pPr>
        <w:ind w:left="768" w:hanging="360"/>
      </w:pPr>
      <w:rPr>
        <w:rFonts w:ascii="Symbol" w:hAnsi="Symbol" w:hint="default"/>
      </w:rPr>
    </w:lvl>
    <w:lvl w:ilvl="1" w:tplc="21E83C1C" w:tentative="1">
      <w:start w:val="1"/>
      <w:numFmt w:val="bullet"/>
      <w:lvlText w:val="o"/>
      <w:lvlJc w:val="left"/>
      <w:pPr>
        <w:ind w:left="1488" w:hanging="360"/>
      </w:pPr>
      <w:rPr>
        <w:rFonts w:ascii="Courier New" w:hAnsi="Courier New" w:cs="Courier New" w:hint="default"/>
      </w:rPr>
    </w:lvl>
    <w:lvl w:ilvl="2" w:tplc="85D6FE46" w:tentative="1">
      <w:start w:val="1"/>
      <w:numFmt w:val="bullet"/>
      <w:lvlText w:val=""/>
      <w:lvlJc w:val="left"/>
      <w:pPr>
        <w:ind w:left="2208" w:hanging="360"/>
      </w:pPr>
      <w:rPr>
        <w:rFonts w:ascii="Wingdings" w:hAnsi="Wingdings" w:hint="default"/>
      </w:rPr>
    </w:lvl>
    <w:lvl w:ilvl="3" w:tplc="54D2729A" w:tentative="1">
      <w:start w:val="1"/>
      <w:numFmt w:val="bullet"/>
      <w:lvlText w:val=""/>
      <w:lvlJc w:val="left"/>
      <w:pPr>
        <w:ind w:left="2928" w:hanging="360"/>
      </w:pPr>
      <w:rPr>
        <w:rFonts w:ascii="Symbol" w:hAnsi="Symbol" w:hint="default"/>
      </w:rPr>
    </w:lvl>
    <w:lvl w:ilvl="4" w:tplc="FA1CB392" w:tentative="1">
      <w:start w:val="1"/>
      <w:numFmt w:val="bullet"/>
      <w:lvlText w:val="o"/>
      <w:lvlJc w:val="left"/>
      <w:pPr>
        <w:ind w:left="3648" w:hanging="360"/>
      </w:pPr>
      <w:rPr>
        <w:rFonts w:ascii="Courier New" w:hAnsi="Courier New" w:cs="Courier New" w:hint="default"/>
      </w:rPr>
    </w:lvl>
    <w:lvl w:ilvl="5" w:tplc="809424BA" w:tentative="1">
      <w:start w:val="1"/>
      <w:numFmt w:val="bullet"/>
      <w:lvlText w:val=""/>
      <w:lvlJc w:val="left"/>
      <w:pPr>
        <w:ind w:left="4368" w:hanging="360"/>
      </w:pPr>
      <w:rPr>
        <w:rFonts w:ascii="Wingdings" w:hAnsi="Wingdings" w:hint="default"/>
      </w:rPr>
    </w:lvl>
    <w:lvl w:ilvl="6" w:tplc="4580CDB8" w:tentative="1">
      <w:start w:val="1"/>
      <w:numFmt w:val="bullet"/>
      <w:lvlText w:val=""/>
      <w:lvlJc w:val="left"/>
      <w:pPr>
        <w:ind w:left="5088" w:hanging="360"/>
      </w:pPr>
      <w:rPr>
        <w:rFonts w:ascii="Symbol" w:hAnsi="Symbol" w:hint="default"/>
      </w:rPr>
    </w:lvl>
    <w:lvl w:ilvl="7" w:tplc="99086004" w:tentative="1">
      <w:start w:val="1"/>
      <w:numFmt w:val="bullet"/>
      <w:lvlText w:val="o"/>
      <w:lvlJc w:val="left"/>
      <w:pPr>
        <w:ind w:left="5808" w:hanging="360"/>
      </w:pPr>
      <w:rPr>
        <w:rFonts w:ascii="Courier New" w:hAnsi="Courier New" w:cs="Courier New" w:hint="default"/>
      </w:rPr>
    </w:lvl>
    <w:lvl w:ilvl="8" w:tplc="FB5ED516" w:tentative="1">
      <w:start w:val="1"/>
      <w:numFmt w:val="bullet"/>
      <w:lvlText w:val=""/>
      <w:lvlJc w:val="left"/>
      <w:pPr>
        <w:ind w:left="6528" w:hanging="360"/>
      </w:pPr>
      <w:rPr>
        <w:rFonts w:ascii="Wingdings" w:hAnsi="Wingdings" w:hint="default"/>
      </w:rPr>
    </w:lvl>
  </w:abstractNum>
  <w:abstractNum w:abstractNumId="8" w15:restartNumberingAfterBreak="0">
    <w:nsid w:val="224D0BDA"/>
    <w:multiLevelType w:val="hybridMultilevel"/>
    <w:tmpl w:val="99F00CD6"/>
    <w:lvl w:ilvl="0" w:tplc="CFDE0AD6">
      <w:start w:val="1"/>
      <w:numFmt w:val="bullet"/>
      <w:lvlText w:val="-"/>
      <w:lvlJc w:val="left"/>
      <w:pPr>
        <w:ind w:left="720" w:hanging="360"/>
      </w:pPr>
      <w:rPr>
        <w:rFonts w:hAnsi="Arial" w:hint="default"/>
        <w:color w:val="auto"/>
      </w:rPr>
    </w:lvl>
    <w:lvl w:ilvl="1" w:tplc="FDE6042A" w:tentative="1">
      <w:start w:val="1"/>
      <w:numFmt w:val="bullet"/>
      <w:lvlText w:val="o"/>
      <w:lvlJc w:val="left"/>
      <w:pPr>
        <w:ind w:left="1440" w:hanging="360"/>
      </w:pPr>
      <w:rPr>
        <w:rFonts w:ascii="Courier New" w:hAnsi="Courier New" w:cs="Courier New" w:hint="default"/>
      </w:rPr>
    </w:lvl>
    <w:lvl w:ilvl="2" w:tplc="26CCBA9E" w:tentative="1">
      <w:start w:val="1"/>
      <w:numFmt w:val="bullet"/>
      <w:lvlText w:val=""/>
      <w:lvlJc w:val="left"/>
      <w:pPr>
        <w:ind w:left="2160" w:hanging="360"/>
      </w:pPr>
      <w:rPr>
        <w:rFonts w:ascii="Wingdings" w:hAnsi="Wingdings" w:hint="default"/>
      </w:rPr>
    </w:lvl>
    <w:lvl w:ilvl="3" w:tplc="E4622892" w:tentative="1">
      <w:start w:val="1"/>
      <w:numFmt w:val="bullet"/>
      <w:lvlText w:val=""/>
      <w:lvlJc w:val="left"/>
      <w:pPr>
        <w:ind w:left="2880" w:hanging="360"/>
      </w:pPr>
      <w:rPr>
        <w:rFonts w:ascii="Symbol" w:hAnsi="Symbol" w:hint="default"/>
      </w:rPr>
    </w:lvl>
    <w:lvl w:ilvl="4" w:tplc="ADE48168" w:tentative="1">
      <w:start w:val="1"/>
      <w:numFmt w:val="bullet"/>
      <w:lvlText w:val="o"/>
      <w:lvlJc w:val="left"/>
      <w:pPr>
        <w:ind w:left="3600" w:hanging="360"/>
      </w:pPr>
      <w:rPr>
        <w:rFonts w:ascii="Courier New" w:hAnsi="Courier New" w:cs="Courier New" w:hint="default"/>
      </w:rPr>
    </w:lvl>
    <w:lvl w:ilvl="5" w:tplc="FB68479E" w:tentative="1">
      <w:start w:val="1"/>
      <w:numFmt w:val="bullet"/>
      <w:lvlText w:val=""/>
      <w:lvlJc w:val="left"/>
      <w:pPr>
        <w:ind w:left="4320" w:hanging="360"/>
      </w:pPr>
      <w:rPr>
        <w:rFonts w:ascii="Wingdings" w:hAnsi="Wingdings" w:hint="default"/>
      </w:rPr>
    </w:lvl>
    <w:lvl w:ilvl="6" w:tplc="E40C6126" w:tentative="1">
      <w:start w:val="1"/>
      <w:numFmt w:val="bullet"/>
      <w:lvlText w:val=""/>
      <w:lvlJc w:val="left"/>
      <w:pPr>
        <w:ind w:left="5040" w:hanging="360"/>
      </w:pPr>
      <w:rPr>
        <w:rFonts w:ascii="Symbol" w:hAnsi="Symbol" w:hint="default"/>
      </w:rPr>
    </w:lvl>
    <w:lvl w:ilvl="7" w:tplc="4CE2D446" w:tentative="1">
      <w:start w:val="1"/>
      <w:numFmt w:val="bullet"/>
      <w:lvlText w:val="o"/>
      <w:lvlJc w:val="left"/>
      <w:pPr>
        <w:ind w:left="5760" w:hanging="360"/>
      </w:pPr>
      <w:rPr>
        <w:rFonts w:ascii="Courier New" w:hAnsi="Courier New" w:cs="Courier New" w:hint="default"/>
      </w:rPr>
    </w:lvl>
    <w:lvl w:ilvl="8" w:tplc="21A88120" w:tentative="1">
      <w:start w:val="1"/>
      <w:numFmt w:val="bullet"/>
      <w:lvlText w:val=""/>
      <w:lvlJc w:val="left"/>
      <w:pPr>
        <w:ind w:left="6480" w:hanging="360"/>
      </w:pPr>
      <w:rPr>
        <w:rFonts w:ascii="Wingdings" w:hAnsi="Wingdings" w:hint="default"/>
      </w:rPr>
    </w:lvl>
  </w:abstractNum>
  <w:abstractNum w:abstractNumId="9" w15:restartNumberingAfterBreak="0">
    <w:nsid w:val="232F0B86"/>
    <w:multiLevelType w:val="hybridMultilevel"/>
    <w:tmpl w:val="AE78D464"/>
    <w:lvl w:ilvl="0" w:tplc="09FC65E6">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C82F98"/>
    <w:multiLevelType w:val="hybridMultilevel"/>
    <w:tmpl w:val="C658D592"/>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FF7E115A">
      <w:numFmt w:val="bullet"/>
      <w:lvlText w:val="•"/>
      <w:lvlJc w:val="left"/>
      <w:pPr>
        <w:ind w:left="2880" w:hanging="360"/>
      </w:pPr>
      <w:rPr>
        <w:rFonts w:ascii="Calibri" w:eastAsia="Calibri" w:hAnsi="Calibri" w:cs="Times New Roman"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10635B"/>
    <w:multiLevelType w:val="hybridMultilevel"/>
    <w:tmpl w:val="2A56B022"/>
    <w:lvl w:ilvl="0" w:tplc="FFFFFFFF">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2A6D5773"/>
    <w:multiLevelType w:val="hybridMultilevel"/>
    <w:tmpl w:val="568E15EC"/>
    <w:lvl w:ilvl="0" w:tplc="CBFC404E">
      <w:start w:val="1"/>
      <w:numFmt w:val="bullet"/>
      <w:lvlText w:val=""/>
      <w:lvlJc w:val="left"/>
      <w:pPr>
        <w:ind w:left="720" w:hanging="360"/>
      </w:pPr>
      <w:rPr>
        <w:rFonts w:ascii="Wingdings" w:hAnsi="Wingdings" w:hint="default"/>
        <w:color w:val="auto"/>
      </w:rPr>
    </w:lvl>
    <w:lvl w:ilvl="1" w:tplc="73702B48" w:tentative="1">
      <w:start w:val="1"/>
      <w:numFmt w:val="bullet"/>
      <w:lvlText w:val="o"/>
      <w:lvlJc w:val="left"/>
      <w:pPr>
        <w:ind w:left="1440" w:hanging="360"/>
      </w:pPr>
      <w:rPr>
        <w:rFonts w:ascii="Courier New" w:hAnsi="Courier New" w:cs="Courier New" w:hint="default"/>
      </w:rPr>
    </w:lvl>
    <w:lvl w:ilvl="2" w:tplc="D2A48122" w:tentative="1">
      <w:start w:val="1"/>
      <w:numFmt w:val="bullet"/>
      <w:lvlText w:val=""/>
      <w:lvlJc w:val="left"/>
      <w:pPr>
        <w:ind w:left="2160" w:hanging="360"/>
      </w:pPr>
      <w:rPr>
        <w:rFonts w:ascii="Wingdings" w:hAnsi="Wingdings" w:hint="default"/>
      </w:rPr>
    </w:lvl>
    <w:lvl w:ilvl="3" w:tplc="673E4790" w:tentative="1">
      <w:start w:val="1"/>
      <w:numFmt w:val="bullet"/>
      <w:lvlText w:val=""/>
      <w:lvlJc w:val="left"/>
      <w:pPr>
        <w:ind w:left="2880" w:hanging="360"/>
      </w:pPr>
      <w:rPr>
        <w:rFonts w:ascii="Symbol" w:hAnsi="Symbol" w:hint="default"/>
      </w:rPr>
    </w:lvl>
    <w:lvl w:ilvl="4" w:tplc="CF220212" w:tentative="1">
      <w:start w:val="1"/>
      <w:numFmt w:val="bullet"/>
      <w:lvlText w:val="o"/>
      <w:lvlJc w:val="left"/>
      <w:pPr>
        <w:ind w:left="3600" w:hanging="360"/>
      </w:pPr>
      <w:rPr>
        <w:rFonts w:ascii="Courier New" w:hAnsi="Courier New" w:cs="Courier New" w:hint="default"/>
      </w:rPr>
    </w:lvl>
    <w:lvl w:ilvl="5" w:tplc="A7B678C0" w:tentative="1">
      <w:start w:val="1"/>
      <w:numFmt w:val="bullet"/>
      <w:lvlText w:val=""/>
      <w:lvlJc w:val="left"/>
      <w:pPr>
        <w:ind w:left="4320" w:hanging="360"/>
      </w:pPr>
      <w:rPr>
        <w:rFonts w:ascii="Wingdings" w:hAnsi="Wingdings" w:hint="default"/>
      </w:rPr>
    </w:lvl>
    <w:lvl w:ilvl="6" w:tplc="FC026B12" w:tentative="1">
      <w:start w:val="1"/>
      <w:numFmt w:val="bullet"/>
      <w:lvlText w:val=""/>
      <w:lvlJc w:val="left"/>
      <w:pPr>
        <w:ind w:left="5040" w:hanging="360"/>
      </w:pPr>
      <w:rPr>
        <w:rFonts w:ascii="Symbol" w:hAnsi="Symbol" w:hint="default"/>
      </w:rPr>
    </w:lvl>
    <w:lvl w:ilvl="7" w:tplc="100038A2" w:tentative="1">
      <w:start w:val="1"/>
      <w:numFmt w:val="bullet"/>
      <w:lvlText w:val="o"/>
      <w:lvlJc w:val="left"/>
      <w:pPr>
        <w:ind w:left="5760" w:hanging="360"/>
      </w:pPr>
      <w:rPr>
        <w:rFonts w:ascii="Courier New" w:hAnsi="Courier New" w:cs="Courier New" w:hint="default"/>
      </w:rPr>
    </w:lvl>
    <w:lvl w:ilvl="8" w:tplc="EC8AEA9A" w:tentative="1">
      <w:start w:val="1"/>
      <w:numFmt w:val="bullet"/>
      <w:lvlText w:val=""/>
      <w:lvlJc w:val="left"/>
      <w:pPr>
        <w:ind w:left="6480" w:hanging="360"/>
      </w:pPr>
      <w:rPr>
        <w:rFonts w:ascii="Wingdings" w:hAnsi="Wingdings" w:hint="default"/>
      </w:rPr>
    </w:lvl>
  </w:abstractNum>
  <w:abstractNum w:abstractNumId="13" w15:restartNumberingAfterBreak="0">
    <w:nsid w:val="2AA357D9"/>
    <w:multiLevelType w:val="multilevel"/>
    <w:tmpl w:val="314220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0001BAF"/>
    <w:multiLevelType w:val="hybridMultilevel"/>
    <w:tmpl w:val="9658344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50239B3"/>
    <w:multiLevelType w:val="hybridMultilevel"/>
    <w:tmpl w:val="75B0519E"/>
    <w:lvl w:ilvl="0" w:tplc="CAA4B3F2">
      <w:start w:val="1"/>
      <w:numFmt w:val="decimal"/>
      <w:lvlText w:val="%1."/>
      <w:lvlJc w:val="left"/>
      <w:pPr>
        <w:ind w:left="720" w:hanging="360"/>
      </w:pPr>
      <w:rPr>
        <w:rFonts w:hint="default"/>
      </w:rPr>
    </w:lvl>
    <w:lvl w:ilvl="1" w:tplc="E95AAAAE">
      <w:start w:val="1"/>
      <w:numFmt w:val="decimal"/>
      <w:lvlText w:val="%2."/>
      <w:lvlJc w:val="left"/>
      <w:pPr>
        <w:ind w:left="1440" w:hanging="360"/>
      </w:pPr>
    </w:lvl>
    <w:lvl w:ilvl="2" w:tplc="4B0EB236">
      <w:start w:val="1"/>
      <w:numFmt w:val="lowerRoman"/>
      <w:lvlText w:val="%3."/>
      <w:lvlJc w:val="right"/>
      <w:pPr>
        <w:ind w:left="2160" w:hanging="180"/>
      </w:pPr>
    </w:lvl>
    <w:lvl w:ilvl="3" w:tplc="3D460B3C" w:tentative="1">
      <w:start w:val="1"/>
      <w:numFmt w:val="decimal"/>
      <w:lvlText w:val="%4."/>
      <w:lvlJc w:val="left"/>
      <w:pPr>
        <w:ind w:left="2880" w:hanging="360"/>
      </w:pPr>
    </w:lvl>
    <w:lvl w:ilvl="4" w:tplc="48101188" w:tentative="1">
      <w:start w:val="1"/>
      <w:numFmt w:val="lowerLetter"/>
      <w:lvlText w:val="%5."/>
      <w:lvlJc w:val="left"/>
      <w:pPr>
        <w:ind w:left="3600" w:hanging="360"/>
      </w:pPr>
    </w:lvl>
    <w:lvl w:ilvl="5" w:tplc="CFAA40B6" w:tentative="1">
      <w:start w:val="1"/>
      <w:numFmt w:val="lowerRoman"/>
      <w:lvlText w:val="%6."/>
      <w:lvlJc w:val="right"/>
      <w:pPr>
        <w:ind w:left="4320" w:hanging="180"/>
      </w:pPr>
    </w:lvl>
    <w:lvl w:ilvl="6" w:tplc="E4E4B6A8" w:tentative="1">
      <w:start w:val="1"/>
      <w:numFmt w:val="decimal"/>
      <w:lvlText w:val="%7."/>
      <w:lvlJc w:val="left"/>
      <w:pPr>
        <w:ind w:left="5040" w:hanging="360"/>
      </w:pPr>
    </w:lvl>
    <w:lvl w:ilvl="7" w:tplc="00B46674" w:tentative="1">
      <w:start w:val="1"/>
      <w:numFmt w:val="lowerLetter"/>
      <w:lvlText w:val="%8."/>
      <w:lvlJc w:val="left"/>
      <w:pPr>
        <w:ind w:left="5760" w:hanging="360"/>
      </w:pPr>
    </w:lvl>
    <w:lvl w:ilvl="8" w:tplc="D42EAAFE" w:tentative="1">
      <w:start w:val="1"/>
      <w:numFmt w:val="lowerRoman"/>
      <w:lvlText w:val="%9."/>
      <w:lvlJc w:val="right"/>
      <w:pPr>
        <w:ind w:left="6480" w:hanging="180"/>
      </w:pPr>
    </w:lvl>
  </w:abstractNum>
  <w:abstractNum w:abstractNumId="16" w15:restartNumberingAfterBreak="0">
    <w:nsid w:val="37D2404E"/>
    <w:multiLevelType w:val="multilevel"/>
    <w:tmpl w:val="314220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CA3D56"/>
    <w:multiLevelType w:val="hybridMultilevel"/>
    <w:tmpl w:val="A894A6C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453B1"/>
    <w:multiLevelType w:val="hybridMultilevel"/>
    <w:tmpl w:val="ABF42A8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03326"/>
    <w:multiLevelType w:val="hybridMultilevel"/>
    <w:tmpl w:val="0566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2A1E8E"/>
    <w:multiLevelType w:val="multilevel"/>
    <w:tmpl w:val="31422094"/>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905629C"/>
    <w:multiLevelType w:val="hybridMultilevel"/>
    <w:tmpl w:val="AC02452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FF7E115A">
      <w:numFmt w:val="bullet"/>
      <w:lvlText w:val="•"/>
      <w:lvlJc w:val="left"/>
      <w:pPr>
        <w:ind w:left="2880" w:hanging="360"/>
      </w:pPr>
      <w:rPr>
        <w:rFonts w:ascii="Calibri" w:eastAsia="Calibri" w:hAnsi="Calibri" w:cs="Times New Roman"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9F7497"/>
    <w:multiLevelType w:val="hybridMultilevel"/>
    <w:tmpl w:val="3E9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33778"/>
    <w:multiLevelType w:val="hybridMultilevel"/>
    <w:tmpl w:val="85E669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7"/>
  </w:num>
  <w:num w:numId="4">
    <w:abstractNumId w:val="5"/>
  </w:num>
  <w:num w:numId="5">
    <w:abstractNumId w:val="16"/>
  </w:num>
  <w:num w:numId="6">
    <w:abstractNumId w:val="20"/>
  </w:num>
  <w:num w:numId="7">
    <w:abstractNumId w:val="8"/>
  </w:num>
  <w:num w:numId="8">
    <w:abstractNumId w:val="12"/>
  </w:num>
  <w:num w:numId="9">
    <w:abstractNumId w:val="2"/>
  </w:num>
  <w:num w:numId="10">
    <w:abstractNumId w:val="10"/>
  </w:num>
  <w:num w:numId="11">
    <w:abstractNumId w:val="1"/>
  </w:num>
  <w:num w:numId="12">
    <w:abstractNumId w:val="14"/>
  </w:num>
  <w:num w:numId="13">
    <w:abstractNumId w:val="21"/>
  </w:num>
  <w:num w:numId="14">
    <w:abstractNumId w:val="23"/>
  </w:num>
  <w:num w:numId="15">
    <w:abstractNumId w:val="19"/>
  </w:num>
  <w:num w:numId="16">
    <w:abstractNumId w:val="9"/>
  </w:num>
  <w:num w:numId="17">
    <w:abstractNumId w:val="11"/>
  </w:num>
  <w:num w:numId="18">
    <w:abstractNumId w:val="3"/>
  </w:num>
  <w:num w:numId="19">
    <w:abstractNumId w:val="6"/>
  </w:num>
  <w:num w:numId="20">
    <w:abstractNumId w:val="18"/>
  </w:num>
  <w:num w:numId="21">
    <w:abstractNumId w:val="17"/>
  </w:num>
  <w:num w:numId="22">
    <w:abstractNumId w:val="0"/>
  </w:num>
  <w:num w:numId="23">
    <w:abstractNumId w:val="22"/>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defaultTabStop w:val="708"/>
  <w:hyphenationZone w:val="425"/>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FF"/>
    <w:rsid w:val="00062DAF"/>
    <w:rsid w:val="00062E82"/>
    <w:rsid w:val="00065F82"/>
    <w:rsid w:val="00090714"/>
    <w:rsid w:val="000D4404"/>
    <w:rsid w:val="001207F4"/>
    <w:rsid w:val="00174C1E"/>
    <w:rsid w:val="001A29E9"/>
    <w:rsid w:val="001A7DCF"/>
    <w:rsid w:val="001E1CDE"/>
    <w:rsid w:val="002076C7"/>
    <w:rsid w:val="00216C36"/>
    <w:rsid w:val="00251CF0"/>
    <w:rsid w:val="0027066B"/>
    <w:rsid w:val="002E56CE"/>
    <w:rsid w:val="002F3836"/>
    <w:rsid w:val="003005BD"/>
    <w:rsid w:val="003528C6"/>
    <w:rsid w:val="00447666"/>
    <w:rsid w:val="00455E18"/>
    <w:rsid w:val="00560B54"/>
    <w:rsid w:val="005748BE"/>
    <w:rsid w:val="00587288"/>
    <w:rsid w:val="005C18C7"/>
    <w:rsid w:val="005C2295"/>
    <w:rsid w:val="005F1B78"/>
    <w:rsid w:val="00621FA9"/>
    <w:rsid w:val="00623485"/>
    <w:rsid w:val="00652BF7"/>
    <w:rsid w:val="00653AE4"/>
    <w:rsid w:val="0067462F"/>
    <w:rsid w:val="0068028B"/>
    <w:rsid w:val="006C7FCF"/>
    <w:rsid w:val="00720FC8"/>
    <w:rsid w:val="0073169A"/>
    <w:rsid w:val="007E4A7A"/>
    <w:rsid w:val="007F3366"/>
    <w:rsid w:val="007F6116"/>
    <w:rsid w:val="00823865"/>
    <w:rsid w:val="0085774D"/>
    <w:rsid w:val="008B3277"/>
    <w:rsid w:val="00914927"/>
    <w:rsid w:val="009750BF"/>
    <w:rsid w:val="009F2DDA"/>
    <w:rsid w:val="00A44AC1"/>
    <w:rsid w:val="00A705C8"/>
    <w:rsid w:val="00A87937"/>
    <w:rsid w:val="00AB34B7"/>
    <w:rsid w:val="00AB6A80"/>
    <w:rsid w:val="00B16C04"/>
    <w:rsid w:val="00B16C23"/>
    <w:rsid w:val="00B22D44"/>
    <w:rsid w:val="00B608AC"/>
    <w:rsid w:val="00BA7A71"/>
    <w:rsid w:val="00BB5E98"/>
    <w:rsid w:val="00BC529D"/>
    <w:rsid w:val="00BF7FC7"/>
    <w:rsid w:val="00C47034"/>
    <w:rsid w:val="00C5238E"/>
    <w:rsid w:val="00CB448B"/>
    <w:rsid w:val="00CB5CE5"/>
    <w:rsid w:val="00D4467B"/>
    <w:rsid w:val="00D71852"/>
    <w:rsid w:val="00DB3BB8"/>
    <w:rsid w:val="00DD2B5C"/>
    <w:rsid w:val="00E029FF"/>
    <w:rsid w:val="00E26AEC"/>
    <w:rsid w:val="00E37E9B"/>
    <w:rsid w:val="00E9107D"/>
    <w:rsid w:val="00EA3279"/>
    <w:rsid w:val="00ED0444"/>
    <w:rsid w:val="00FD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4:docId w14:val="49FE65A1"/>
  <w15:docId w15:val="{CA445657-7118-410D-B6A2-9EB8BC43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72"/>
    <w:pPr>
      <w:spacing w:after="200" w:line="276" w:lineRule="auto"/>
      <w:jc w:val="both"/>
    </w:pPr>
    <w:rPr>
      <w:sz w:val="22"/>
      <w:szCs w:val="22"/>
      <w:lang w:val="en-US"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pPr>
      <w:spacing w:after="0" w:line="240" w:lineRule="auto"/>
    </w:pPr>
    <w:rPr>
      <w:rFonts w:ascii="Arial" w:eastAsia="Times New Roman" w:hAnsi="Arial" w:cs="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link w:val="ListParagraphChar"/>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semiHidden/>
    <w:unhideWhenUsed/>
    <w:rsid w:val="00C21F8B"/>
    <w:rPr>
      <w:sz w:val="20"/>
      <w:szCs w:val="20"/>
    </w:rPr>
  </w:style>
  <w:style w:type="character" w:customStyle="1" w:styleId="CommentTextChar">
    <w:name w:val="Comment Text Char"/>
    <w:link w:val="CommentText"/>
    <w:uiPriority w:val="99"/>
    <w:semiHidden/>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0A0817"/>
    <w:pPr>
      <w:numPr>
        <w:numId w:val="4"/>
      </w:numPr>
      <w:spacing w:before="120" w:after="120" w:line="240" w:lineRule="auto"/>
    </w:pPr>
    <w:rPr>
      <w:rFonts w:ascii="Times New Roman" w:eastAsia="Times New Roman" w:hAnsi="Times New Roman"/>
      <w:sz w:val="24"/>
      <w:szCs w:val="20"/>
      <w:lang w:val="en-GB" w:eastAsia="zh-CN"/>
    </w:rPr>
  </w:style>
  <w:style w:type="paragraph" w:customStyle="1" w:styleId="Lijstalinea2">
    <w:name w:val="Lijstalinea2"/>
    <w:basedOn w:val="Normal"/>
    <w:rsid w:val="000A0817"/>
    <w:pPr>
      <w:spacing w:after="0" w:line="240" w:lineRule="auto"/>
      <w:ind w:left="708"/>
      <w:jc w:val="left"/>
    </w:pPr>
    <w:rPr>
      <w:rFonts w:ascii="Times New Roman" w:eastAsia="Cambria" w:hAnsi="Times New Roman"/>
      <w:sz w:val="24"/>
      <w:szCs w:val="24"/>
    </w:rPr>
  </w:style>
  <w:style w:type="paragraph" w:customStyle="1" w:styleId="Oggetto">
    <w:name w:val="Oggetto"/>
    <w:basedOn w:val="Normal"/>
    <w:next w:val="Normal"/>
    <w:rsid w:val="002B0EF6"/>
    <w:pPr>
      <w:spacing w:before="480" w:after="840" w:line="240" w:lineRule="auto"/>
      <w:ind w:left="1701" w:hanging="1701"/>
      <w:jc w:val="left"/>
    </w:pPr>
    <w:rPr>
      <w:rFonts w:ascii="Futura Std Book" w:eastAsia="Times New Roman" w:hAnsi="Futura Std Book" w:cs="Arial"/>
      <w:b/>
      <w:bCs/>
      <w:sz w:val="18"/>
      <w:szCs w:val="20"/>
      <w:lang w:val="it-IT" w:eastAsia="it-IT"/>
    </w:rPr>
  </w:style>
  <w:style w:type="paragraph" w:customStyle="1" w:styleId="lineadopotitolo">
    <w:name w:val="linea dopo titolo"/>
    <w:basedOn w:val="Normal"/>
    <w:next w:val="Oggetto"/>
    <w:rsid w:val="002B0EF6"/>
    <w:pPr>
      <w:spacing w:after="0" w:line="360" w:lineRule="exact"/>
      <w:jc w:val="center"/>
    </w:pPr>
    <w:rPr>
      <w:rFonts w:ascii="Arial" w:eastAsia="Times New Roman" w:hAnsi="Arial"/>
      <w:color w:val="808080"/>
      <w:sz w:val="20"/>
      <w:szCs w:val="20"/>
      <w:lang w:val="it-IT" w:eastAsia="it-IT"/>
    </w:rPr>
  </w:style>
  <w:style w:type="paragraph" w:customStyle="1" w:styleId="Normalelt">
    <w:name w:val="Normale lt"/>
    <w:basedOn w:val="Normal"/>
    <w:rsid w:val="002B0EF6"/>
    <w:pPr>
      <w:spacing w:before="120" w:after="120" w:line="360" w:lineRule="exact"/>
      <w:jc w:val="left"/>
    </w:pPr>
    <w:rPr>
      <w:rFonts w:ascii="Arial" w:eastAsia="Times New Roman" w:hAnsi="Arial" w:cs="Arial"/>
      <w:sz w:val="20"/>
      <w:szCs w:val="24"/>
      <w:lang w:val="it-IT" w:eastAsia="it-IT"/>
    </w:rPr>
  </w:style>
  <w:style w:type="character" w:customStyle="1" w:styleId="ListParagraphChar">
    <w:name w:val="List Paragraph Char"/>
    <w:link w:val="ListParagraph"/>
    <w:uiPriority w:val="34"/>
    <w:rsid w:val="009B2DC0"/>
    <w:rPr>
      <w:sz w:val="22"/>
      <w:szCs w:val="22"/>
      <w:lang w:eastAsia="en-US"/>
    </w:rPr>
  </w:style>
  <w:style w:type="paragraph" w:styleId="Caption">
    <w:name w:val="caption"/>
    <w:basedOn w:val="Normal"/>
    <w:next w:val="Normal"/>
    <w:uiPriority w:val="35"/>
    <w:unhideWhenUsed/>
    <w:qFormat/>
    <w:rsid w:val="005A61E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vesnik.com.mk" TargetMode="External"/><Relationship Id="rId18" Type="http://schemas.openxmlformats.org/officeDocument/2006/relationships/hyperlink" Target="http://eippcb.jrc.ec.europa.eu/refere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ippcb.jrc.ec.europa.eu/reference/" TargetMode="External"/><Relationship Id="rId7" Type="http://schemas.openxmlformats.org/officeDocument/2006/relationships/endnotes" Target="endnotes.xml"/><Relationship Id="rId12" Type="http://schemas.openxmlformats.org/officeDocument/2006/relationships/hyperlink" Target="http://www.moepp.gov.mk" TargetMode="External"/><Relationship Id="rId17" Type="http://schemas.openxmlformats.org/officeDocument/2006/relationships/hyperlink" Target="http://eippcb.jrc.ec.europa.eu/referenc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ippcb.jrc.ec.europa.eu/reference/" TargetMode="External"/><Relationship Id="rId20" Type="http://schemas.openxmlformats.org/officeDocument/2006/relationships/hyperlink" Target="http://eippcb.jrc.ec.europa.eu/re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i.gov.mk/page_en.asp?ID=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i.gov.mk"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eippcb.jrc.ec.europa.eu/refere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eippcb.jrc.ec.europa.eu/reference/BREF/LCP_D1_June_online.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mailto:inspection.cs@gmail.com%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9A0C-C086-4328-A70D-DF22415E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9301</Words>
  <Characters>51158</Characters>
  <Application>Microsoft Office Word</Application>
  <DocSecurity>0</DocSecurity>
  <Lines>426</Lines>
  <Paragraphs>120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1st Project Steering Committee Meeting</vt:lpstr>
      <vt:lpstr>1st Project Steering Committee Meeting</vt:lpstr>
      <vt:lpstr>1st Project Steering Committee Meeting</vt:lpstr>
    </vt:vector>
  </TitlesOfParts>
  <Company>Deftones</Company>
  <LinksUpToDate>false</LinksUpToDate>
  <CharactersWithSpaces>60339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8</cp:revision>
  <cp:lastPrinted>2015-10-21T14:56:00Z</cp:lastPrinted>
  <dcterms:created xsi:type="dcterms:W3CDTF">2016-01-18T10:13:00Z</dcterms:created>
  <dcterms:modified xsi:type="dcterms:W3CDTF">2016-03-17T14:06:00Z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1880302652</vt:i4>
  </property>
</Properties>
</file>