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7E" w:rsidRDefault="000E627E" w:rsidP="000E627E">
      <w:pPr>
        <w:pStyle w:val="Heading2"/>
      </w:pPr>
      <w:bookmarkStart w:id="0" w:name="_Toc448313622"/>
      <w:bookmarkStart w:id="1" w:name="_Toc448915100"/>
      <w:r>
        <w:t>Annex 8</w:t>
      </w:r>
      <w:r w:rsidRPr="007346DD">
        <w:t xml:space="preserve">: </w:t>
      </w:r>
      <w:r>
        <w:t>Template</w:t>
      </w:r>
      <w:r w:rsidRPr="007346DD">
        <w:t xml:space="preserve"> of an inspection report that can be made publicly available</w:t>
      </w:r>
      <w:r>
        <w:t>, and related guidance on classification of non compliances</w:t>
      </w:r>
      <w:bookmarkEnd w:id="0"/>
      <w:bookmarkEnd w:id="1"/>
    </w:p>
    <w:p w:rsidR="000E627E" w:rsidRPr="00297C29" w:rsidRDefault="000E627E" w:rsidP="000E627E">
      <w:pPr>
        <w:pStyle w:val="Heading3"/>
      </w:pPr>
      <w:bookmarkStart w:id="2" w:name="_Toc448313623"/>
      <w:bookmarkStart w:id="3" w:name="_Toc448915101"/>
      <w:r>
        <w:t>Template of publicly available inspection report for IED installations:</w:t>
      </w:r>
      <w:bookmarkEnd w:id="2"/>
      <w:bookmarkEnd w:id="3"/>
    </w:p>
    <w:p w:rsidR="000E627E" w:rsidRPr="00FB4B6A" w:rsidRDefault="000E627E" w:rsidP="000E627E">
      <w:pPr>
        <w:rPr>
          <w:b/>
          <w:sz w:val="28"/>
          <w:szCs w:val="28"/>
        </w:rPr>
      </w:pPr>
      <w:r w:rsidRPr="00FB4B6A">
        <w:rPr>
          <w:b/>
          <w:sz w:val="28"/>
          <w:szCs w:val="28"/>
        </w:rPr>
        <w:t>Identification of the operator</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3030"/>
        <w:gridCol w:w="5759"/>
      </w:tblGrid>
      <w:tr w:rsidR="000E627E" w:rsidRPr="00DC23C3" w:rsidTr="00332EB6">
        <w:tc>
          <w:tcPr>
            <w:tcW w:w="3030" w:type="dxa"/>
            <w:tcBorders>
              <w:top w:val="single" w:sz="12" w:space="0" w:color="auto"/>
            </w:tcBorders>
            <w:shd w:val="pct5" w:color="auto" w:fill="FFFFFF"/>
            <w:vAlign w:val="center"/>
          </w:tcPr>
          <w:p w:rsidR="000E627E" w:rsidRPr="00297C29" w:rsidRDefault="000E627E" w:rsidP="00332EB6">
            <w:pPr>
              <w:pStyle w:val="Footer"/>
              <w:spacing w:before="60" w:after="60"/>
              <w:rPr>
                <w:bCs/>
              </w:rPr>
            </w:pPr>
            <w:r w:rsidRPr="00297C29">
              <w:rPr>
                <w:bCs/>
              </w:rPr>
              <w:t>Operator’s name</w:t>
            </w:r>
          </w:p>
        </w:tc>
        <w:tc>
          <w:tcPr>
            <w:tcW w:w="5759" w:type="dxa"/>
            <w:tcBorders>
              <w:top w:val="single" w:sz="12" w:space="0" w:color="auto"/>
            </w:tcBorders>
            <w:vAlign w:val="center"/>
          </w:tcPr>
          <w:p w:rsidR="000E627E" w:rsidRPr="00DC23C3" w:rsidRDefault="000E627E" w:rsidP="00332EB6">
            <w:pPr>
              <w:pStyle w:val="Odstavecseseznamem1"/>
              <w:spacing w:before="60" w:after="60"/>
              <w:ind w:left="57"/>
              <w:rPr>
                <w:rFonts w:ascii="Calibri" w:hAnsi="Calibri"/>
                <w:color w:val="FF0000"/>
                <w:sz w:val="22"/>
                <w:szCs w:val="22"/>
                <w:lang w:val="en-GB"/>
              </w:rPr>
            </w:pPr>
          </w:p>
        </w:tc>
      </w:tr>
      <w:tr w:rsidR="000E627E" w:rsidRPr="00DC23C3" w:rsidTr="00332EB6">
        <w:tc>
          <w:tcPr>
            <w:tcW w:w="3030" w:type="dxa"/>
            <w:shd w:val="pct5" w:color="auto" w:fill="FFFFFF"/>
            <w:vAlign w:val="center"/>
          </w:tcPr>
          <w:p w:rsidR="000E627E" w:rsidRPr="00297C29" w:rsidRDefault="000E627E" w:rsidP="00332EB6">
            <w:pPr>
              <w:spacing w:before="60" w:after="60"/>
              <w:rPr>
                <w:bCs/>
                <w:sz w:val="22"/>
              </w:rPr>
            </w:pPr>
            <w:r w:rsidRPr="00297C29">
              <w:rPr>
                <w:bCs/>
                <w:sz w:val="22"/>
              </w:rPr>
              <w:t>Address</w:t>
            </w:r>
          </w:p>
        </w:tc>
        <w:tc>
          <w:tcPr>
            <w:tcW w:w="5759" w:type="dxa"/>
            <w:vAlign w:val="center"/>
          </w:tcPr>
          <w:p w:rsidR="000E627E" w:rsidRPr="00DC23C3" w:rsidRDefault="000E627E" w:rsidP="00332EB6">
            <w:pPr>
              <w:pStyle w:val="Odstavecseseznamem1"/>
              <w:spacing w:before="60" w:after="60"/>
              <w:ind w:left="57"/>
              <w:rPr>
                <w:rFonts w:ascii="Calibri" w:hAnsi="Calibri"/>
                <w:color w:val="FF0000"/>
                <w:sz w:val="22"/>
                <w:szCs w:val="22"/>
                <w:lang w:val="en-GB"/>
              </w:rPr>
            </w:pPr>
          </w:p>
        </w:tc>
      </w:tr>
      <w:tr w:rsidR="000E627E" w:rsidRPr="00DC23C3" w:rsidTr="00332EB6">
        <w:trPr>
          <w:trHeight w:val="591"/>
        </w:trPr>
        <w:tc>
          <w:tcPr>
            <w:tcW w:w="3030" w:type="dxa"/>
            <w:tcBorders>
              <w:bottom w:val="single" w:sz="12" w:space="0" w:color="auto"/>
            </w:tcBorders>
            <w:shd w:val="pct5" w:color="auto" w:fill="FFFFFF"/>
            <w:vAlign w:val="center"/>
          </w:tcPr>
          <w:p w:rsidR="000E627E" w:rsidRPr="00297C29" w:rsidRDefault="000E627E" w:rsidP="00332EB6">
            <w:pPr>
              <w:spacing w:before="60" w:after="60"/>
              <w:rPr>
                <w:bCs/>
                <w:sz w:val="22"/>
              </w:rPr>
            </w:pPr>
            <w:r w:rsidRPr="00297C29">
              <w:rPr>
                <w:bCs/>
                <w:sz w:val="22"/>
              </w:rPr>
              <w:t>ID</w:t>
            </w:r>
          </w:p>
        </w:tc>
        <w:tc>
          <w:tcPr>
            <w:tcW w:w="5759" w:type="dxa"/>
            <w:tcBorders>
              <w:bottom w:val="single" w:sz="12" w:space="0" w:color="auto"/>
            </w:tcBorders>
            <w:vAlign w:val="center"/>
          </w:tcPr>
          <w:p w:rsidR="000E627E" w:rsidRPr="00DC23C3" w:rsidRDefault="000E627E" w:rsidP="00332EB6">
            <w:pPr>
              <w:pStyle w:val="Odstavecseseznamem1"/>
              <w:spacing w:before="60" w:after="60"/>
              <w:ind w:left="57"/>
              <w:rPr>
                <w:rFonts w:ascii="Calibri" w:hAnsi="Calibri"/>
                <w:color w:val="FF0000"/>
                <w:sz w:val="22"/>
                <w:szCs w:val="22"/>
                <w:lang w:val="en-GB"/>
              </w:rPr>
            </w:pPr>
          </w:p>
        </w:tc>
      </w:tr>
    </w:tbl>
    <w:p w:rsidR="000E627E" w:rsidRPr="00DC23C3" w:rsidRDefault="000E627E" w:rsidP="000E627E">
      <w:pPr>
        <w:pStyle w:val="Heading2"/>
        <w:spacing w:before="60"/>
        <w:rPr>
          <w:color w:val="FF0000"/>
          <w:sz w:val="22"/>
          <w:szCs w:val="22"/>
        </w:rPr>
      </w:pPr>
    </w:p>
    <w:p w:rsidR="000E627E" w:rsidRPr="00FB4B6A" w:rsidRDefault="000E627E" w:rsidP="000E627E">
      <w:pPr>
        <w:rPr>
          <w:b/>
          <w:sz w:val="28"/>
          <w:szCs w:val="28"/>
        </w:rPr>
      </w:pPr>
      <w:r w:rsidRPr="00FB4B6A">
        <w:rPr>
          <w:b/>
          <w:sz w:val="28"/>
          <w:szCs w:val="28"/>
        </w:rPr>
        <w:t xml:space="preserve">Identification </w:t>
      </w:r>
      <w:r>
        <w:rPr>
          <w:b/>
          <w:sz w:val="28"/>
          <w:szCs w:val="28"/>
        </w:rPr>
        <w:t xml:space="preserve">of the </w:t>
      </w:r>
      <w:r w:rsidRPr="00FB4B6A">
        <w:rPr>
          <w:b/>
          <w:sz w:val="28"/>
          <w:szCs w:val="28"/>
        </w:rPr>
        <w:t>installation</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0E627E" w:rsidRPr="00DC23C3" w:rsidTr="00332EB6">
        <w:trPr>
          <w:cantSplit/>
          <w:trHeight w:val="333"/>
        </w:trPr>
        <w:tc>
          <w:tcPr>
            <w:tcW w:w="8789" w:type="dxa"/>
            <w:tcBorders>
              <w:top w:val="single" w:sz="12" w:space="0" w:color="auto"/>
            </w:tcBorders>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Pr>
                <w:rFonts w:ascii="Calibri" w:hAnsi="Calibri" w:cs="Arial"/>
                <w:sz w:val="22"/>
                <w:lang w:val="en-GB"/>
              </w:rPr>
              <w:t>N</w:t>
            </w:r>
            <w:r w:rsidRPr="00DC23C3">
              <w:rPr>
                <w:rFonts w:ascii="Calibri" w:hAnsi="Calibri" w:cs="Arial"/>
                <w:sz w:val="22"/>
                <w:lang w:val="en-GB"/>
              </w:rPr>
              <w:t xml:space="preserve">ame </w:t>
            </w:r>
            <w:r>
              <w:rPr>
                <w:rFonts w:ascii="Calibri" w:hAnsi="Calibri" w:cs="Arial"/>
                <w:sz w:val="22"/>
                <w:lang w:val="en-GB"/>
              </w:rPr>
              <w:t xml:space="preserve">of the </w:t>
            </w:r>
            <w:r w:rsidRPr="00DC23C3">
              <w:rPr>
                <w:rFonts w:ascii="Calibri" w:hAnsi="Calibri" w:cs="Arial"/>
                <w:sz w:val="22"/>
                <w:lang w:val="en-GB"/>
              </w:rPr>
              <w:t>installation</w:t>
            </w:r>
          </w:p>
        </w:tc>
      </w:tr>
      <w:tr w:rsidR="000E627E" w:rsidRPr="00DC23C3" w:rsidTr="00332EB6">
        <w:trPr>
          <w:cantSplit/>
        </w:trPr>
        <w:tc>
          <w:tcPr>
            <w:tcW w:w="8789" w:type="dxa"/>
            <w:vAlign w:val="center"/>
          </w:tcPr>
          <w:p w:rsidR="000E627E" w:rsidRPr="00DC23C3" w:rsidRDefault="000E627E" w:rsidP="00332EB6">
            <w:pPr>
              <w:pStyle w:val="Footer"/>
              <w:spacing w:before="60" w:after="60"/>
              <w:ind w:left="57"/>
              <w:rPr>
                <w:b/>
                <w:color w:val="FF0000"/>
              </w:rPr>
            </w:pPr>
          </w:p>
        </w:tc>
      </w:tr>
      <w:tr w:rsidR="000E627E" w:rsidRPr="00DC23C3" w:rsidTr="00332EB6">
        <w:trPr>
          <w:cantSplit/>
        </w:trPr>
        <w:tc>
          <w:tcPr>
            <w:tcW w:w="8789" w:type="dxa"/>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sidRPr="00DC23C3">
              <w:rPr>
                <w:rFonts w:ascii="Calibri" w:hAnsi="Calibri" w:cs="Arial"/>
                <w:sz w:val="22"/>
                <w:lang w:val="en-GB"/>
              </w:rPr>
              <w:t>Address</w:t>
            </w:r>
          </w:p>
        </w:tc>
      </w:tr>
      <w:tr w:rsidR="000E627E" w:rsidRPr="00DC23C3" w:rsidTr="00332EB6">
        <w:trPr>
          <w:cantSplit/>
        </w:trPr>
        <w:tc>
          <w:tcPr>
            <w:tcW w:w="8789" w:type="dxa"/>
            <w:vAlign w:val="center"/>
          </w:tcPr>
          <w:p w:rsidR="000E627E" w:rsidRPr="00DC23C3" w:rsidRDefault="000E627E" w:rsidP="00332EB6">
            <w:pPr>
              <w:pStyle w:val="Footer"/>
              <w:spacing w:before="60" w:after="60"/>
              <w:ind w:left="57"/>
            </w:pPr>
          </w:p>
        </w:tc>
      </w:tr>
      <w:tr w:rsidR="000E627E" w:rsidRPr="00DC23C3" w:rsidTr="00332EB6">
        <w:trPr>
          <w:cantSplit/>
        </w:trPr>
        <w:tc>
          <w:tcPr>
            <w:tcW w:w="8789" w:type="dxa"/>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Pr>
                <w:rFonts w:ascii="Calibri" w:hAnsi="Calibri" w:cs="Arial"/>
                <w:sz w:val="22"/>
                <w:lang w:val="en-GB"/>
              </w:rPr>
              <w:t>IPPC category</w:t>
            </w:r>
          </w:p>
        </w:tc>
      </w:tr>
      <w:tr w:rsidR="000E627E" w:rsidRPr="00DC23C3" w:rsidTr="00332EB6">
        <w:trPr>
          <w:cantSplit/>
        </w:trPr>
        <w:tc>
          <w:tcPr>
            <w:tcW w:w="8789" w:type="dxa"/>
            <w:vAlign w:val="center"/>
          </w:tcPr>
          <w:p w:rsidR="000E627E" w:rsidRPr="00DC23C3" w:rsidRDefault="000E627E" w:rsidP="00332EB6">
            <w:pPr>
              <w:pStyle w:val="Footer"/>
              <w:spacing w:before="60" w:after="60"/>
              <w:ind w:left="57"/>
            </w:pPr>
          </w:p>
        </w:tc>
      </w:tr>
      <w:tr w:rsidR="000E627E" w:rsidRPr="00297C29" w:rsidTr="00332EB6">
        <w:trPr>
          <w:cantSplit/>
          <w:trHeight w:val="333"/>
        </w:trPr>
        <w:tc>
          <w:tcPr>
            <w:tcW w:w="8789" w:type="dxa"/>
            <w:shd w:val="pct5" w:color="auto" w:fill="FFFFFF"/>
            <w:vAlign w:val="center"/>
          </w:tcPr>
          <w:p w:rsidR="000E627E" w:rsidRPr="00297C29" w:rsidRDefault="000E627E" w:rsidP="00332EB6">
            <w:pPr>
              <w:pStyle w:val="NormalWeb"/>
              <w:spacing w:before="62" w:beforeAutospacing="0" w:after="62"/>
              <w:rPr>
                <w:rFonts w:ascii="Calibri" w:hAnsi="Calibri" w:cs="Arial"/>
                <w:sz w:val="22"/>
                <w:szCs w:val="22"/>
                <w:lang w:val="sv-SE"/>
              </w:rPr>
            </w:pPr>
            <w:r w:rsidRPr="00297C29">
              <w:rPr>
                <w:rFonts w:ascii="Calibri" w:hAnsi="Calibri" w:cs="Arial"/>
                <w:sz w:val="22"/>
                <w:lang w:val="sv-SE"/>
              </w:rPr>
              <w:t>ID in Information system IPPC</w:t>
            </w:r>
          </w:p>
        </w:tc>
      </w:tr>
      <w:tr w:rsidR="000E627E" w:rsidRPr="00297C29" w:rsidTr="00332EB6">
        <w:trPr>
          <w:cantSplit/>
        </w:trPr>
        <w:tc>
          <w:tcPr>
            <w:tcW w:w="8789" w:type="dxa"/>
            <w:tcBorders>
              <w:bottom w:val="single" w:sz="12" w:space="0" w:color="auto"/>
            </w:tcBorders>
            <w:vAlign w:val="center"/>
          </w:tcPr>
          <w:p w:rsidR="000E627E" w:rsidRPr="00297C29" w:rsidRDefault="000E627E" w:rsidP="00332EB6">
            <w:pPr>
              <w:pStyle w:val="Footer"/>
              <w:spacing w:before="60" w:after="60"/>
              <w:rPr>
                <w:color w:val="FF0000"/>
                <w:lang w:val="sv-SE"/>
              </w:rPr>
            </w:pPr>
          </w:p>
        </w:tc>
      </w:tr>
    </w:tbl>
    <w:p w:rsidR="000E627E" w:rsidRPr="00297C29" w:rsidRDefault="000E627E" w:rsidP="000E627E">
      <w:pPr>
        <w:rPr>
          <w:b/>
          <w:sz w:val="28"/>
          <w:szCs w:val="28"/>
          <w:lang w:val="sv-SE"/>
        </w:rPr>
      </w:pPr>
    </w:p>
    <w:p w:rsidR="000E627E" w:rsidRPr="00FB4B6A" w:rsidRDefault="000E627E" w:rsidP="000E627E">
      <w:pPr>
        <w:rPr>
          <w:b/>
          <w:sz w:val="28"/>
          <w:szCs w:val="28"/>
        </w:rPr>
      </w:pPr>
      <w:r w:rsidRPr="00FB4B6A">
        <w:rPr>
          <w:b/>
          <w:sz w:val="28"/>
          <w:szCs w:val="28"/>
        </w:rPr>
        <w:t>Scope of control and controlled period</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0E627E" w:rsidRPr="00DC23C3" w:rsidTr="00332EB6">
        <w:trPr>
          <w:cantSplit/>
          <w:trHeight w:val="333"/>
        </w:trPr>
        <w:tc>
          <w:tcPr>
            <w:tcW w:w="8789" w:type="dxa"/>
            <w:tcBorders>
              <w:top w:val="single" w:sz="12" w:space="0" w:color="auto"/>
            </w:tcBorders>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sidRPr="00DC23C3">
              <w:rPr>
                <w:rFonts w:ascii="Calibri" w:hAnsi="Calibri" w:cs="Arial"/>
                <w:color w:val="222222"/>
                <w:sz w:val="22"/>
                <w:szCs w:val="22"/>
                <w:lang w:val="en-GB"/>
              </w:rPr>
              <w:t>Description of the scope of control</w:t>
            </w:r>
          </w:p>
        </w:tc>
      </w:tr>
      <w:tr w:rsidR="000E627E" w:rsidRPr="00DC23C3" w:rsidTr="00332EB6">
        <w:trPr>
          <w:cantSplit/>
        </w:trPr>
        <w:tc>
          <w:tcPr>
            <w:tcW w:w="8789" w:type="dxa"/>
            <w:vAlign w:val="center"/>
          </w:tcPr>
          <w:p w:rsidR="000E627E" w:rsidRPr="00DC23C3" w:rsidRDefault="000E627E" w:rsidP="00332EB6">
            <w:pPr>
              <w:pStyle w:val="Footer"/>
              <w:spacing w:before="60" w:after="60"/>
              <w:rPr>
                <w:i/>
                <w:color w:val="222222"/>
              </w:rPr>
            </w:pPr>
            <w:r>
              <w:rPr>
                <w:i/>
                <w:color w:val="222222"/>
              </w:rPr>
              <w:t>E.g.</w:t>
            </w:r>
            <w:r w:rsidRPr="00DC23C3">
              <w:rPr>
                <w:i/>
                <w:color w:val="222222"/>
              </w:rPr>
              <w:t>: Monitoring compliance with the integrated permit conditions</w:t>
            </w:r>
            <w:r>
              <w:rPr>
                <w:i/>
                <w:color w:val="222222"/>
              </w:rPr>
              <w:t xml:space="preserve"> or complaints about smell</w:t>
            </w:r>
          </w:p>
        </w:tc>
      </w:tr>
      <w:tr w:rsidR="000E627E" w:rsidRPr="00DC23C3" w:rsidTr="00332EB6">
        <w:trPr>
          <w:cantSplit/>
        </w:trPr>
        <w:tc>
          <w:tcPr>
            <w:tcW w:w="8789" w:type="dxa"/>
            <w:shd w:val="clear" w:color="auto" w:fill="F2F2F2"/>
            <w:vAlign w:val="center"/>
          </w:tcPr>
          <w:p w:rsidR="000E627E" w:rsidRPr="00DC23C3" w:rsidRDefault="000E627E" w:rsidP="00332EB6">
            <w:pPr>
              <w:pStyle w:val="Footer"/>
              <w:spacing w:before="60" w:after="60"/>
            </w:pPr>
            <w:r>
              <w:t>Announced or unannounced inspection</w:t>
            </w:r>
          </w:p>
        </w:tc>
      </w:tr>
      <w:tr w:rsidR="000E627E" w:rsidRPr="00DC23C3" w:rsidTr="00332EB6">
        <w:trPr>
          <w:cantSplit/>
        </w:trPr>
        <w:tc>
          <w:tcPr>
            <w:tcW w:w="8789" w:type="dxa"/>
            <w:tcBorders>
              <w:bottom w:val="single" w:sz="12" w:space="0" w:color="auto"/>
            </w:tcBorders>
            <w:vAlign w:val="center"/>
          </w:tcPr>
          <w:p w:rsidR="000E627E" w:rsidRPr="00DC23C3" w:rsidRDefault="000E627E" w:rsidP="00332EB6">
            <w:pPr>
              <w:pStyle w:val="Footer"/>
              <w:spacing w:before="60" w:after="60"/>
              <w:ind w:left="57"/>
              <w:rPr>
                <w:color w:val="FF0000"/>
              </w:rPr>
            </w:pPr>
          </w:p>
        </w:tc>
      </w:tr>
      <w:tr w:rsidR="000E627E" w:rsidRPr="00DC23C3" w:rsidTr="00332EB6">
        <w:trPr>
          <w:cantSplit/>
        </w:trPr>
        <w:tc>
          <w:tcPr>
            <w:tcW w:w="8789" w:type="dxa"/>
            <w:shd w:val="clear" w:color="auto" w:fill="F2F2F2"/>
            <w:vAlign w:val="center"/>
          </w:tcPr>
          <w:p w:rsidR="000E627E" w:rsidRPr="00DC23C3" w:rsidRDefault="000E627E" w:rsidP="00332EB6">
            <w:pPr>
              <w:pStyle w:val="Footer"/>
              <w:spacing w:before="60" w:after="60"/>
            </w:pPr>
            <w:r w:rsidRPr="00DC23C3">
              <w:rPr>
                <w:color w:val="222222"/>
              </w:rPr>
              <w:t>Controlled period</w:t>
            </w:r>
          </w:p>
        </w:tc>
      </w:tr>
      <w:tr w:rsidR="000E627E" w:rsidRPr="00DC23C3" w:rsidTr="00332EB6">
        <w:trPr>
          <w:cantSplit/>
        </w:trPr>
        <w:tc>
          <w:tcPr>
            <w:tcW w:w="8789" w:type="dxa"/>
            <w:tcBorders>
              <w:bottom w:val="single" w:sz="12" w:space="0" w:color="auto"/>
            </w:tcBorders>
            <w:vAlign w:val="center"/>
          </w:tcPr>
          <w:p w:rsidR="000E627E" w:rsidRPr="000944D8" w:rsidRDefault="000E627E" w:rsidP="00332EB6">
            <w:pPr>
              <w:pStyle w:val="Footer"/>
              <w:spacing w:before="60" w:after="60"/>
              <w:rPr>
                <w:i/>
                <w:color w:val="FF0000"/>
              </w:rPr>
            </w:pPr>
            <w:r w:rsidRPr="007B23D1">
              <w:rPr>
                <w:i/>
                <w:color w:val="222222"/>
              </w:rPr>
              <w:t>The time between this type of inspection and the previous one (e.g. Time between the two integrated inspections or time between the inspections because of complaints)</w:t>
            </w:r>
            <w:r w:rsidRPr="000944D8">
              <w:rPr>
                <w:i/>
                <w:color w:val="FF0000"/>
              </w:rPr>
              <w:t xml:space="preserve"> </w:t>
            </w:r>
          </w:p>
        </w:tc>
      </w:tr>
    </w:tbl>
    <w:p w:rsidR="000E627E" w:rsidRDefault="000E627E" w:rsidP="000E627E">
      <w:pPr>
        <w:rPr>
          <w:b/>
          <w:sz w:val="28"/>
          <w:szCs w:val="28"/>
        </w:rPr>
      </w:pPr>
    </w:p>
    <w:p w:rsidR="000E627E" w:rsidRPr="00FB4B6A" w:rsidRDefault="000E627E" w:rsidP="000E627E">
      <w:pPr>
        <w:rPr>
          <w:b/>
          <w:sz w:val="28"/>
          <w:szCs w:val="28"/>
        </w:rPr>
      </w:pPr>
      <w:r>
        <w:rPr>
          <w:b/>
          <w:sz w:val="28"/>
          <w:szCs w:val="28"/>
        </w:rPr>
        <w:t>S</w:t>
      </w:r>
      <w:r w:rsidRPr="00FB4B6A">
        <w:rPr>
          <w:b/>
          <w:sz w:val="28"/>
          <w:szCs w:val="28"/>
        </w:rPr>
        <w:t>ite visit date</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678"/>
        <w:gridCol w:w="4111"/>
      </w:tblGrid>
      <w:tr w:rsidR="000E627E" w:rsidRPr="00DC23C3" w:rsidTr="00332EB6">
        <w:trPr>
          <w:cantSplit/>
        </w:trPr>
        <w:tc>
          <w:tcPr>
            <w:tcW w:w="4678" w:type="dxa"/>
            <w:tcBorders>
              <w:top w:val="single" w:sz="12" w:space="0" w:color="auto"/>
            </w:tcBorders>
            <w:shd w:val="clear" w:color="auto" w:fill="F2F2F2"/>
            <w:vAlign w:val="center"/>
          </w:tcPr>
          <w:p w:rsidR="000E627E" w:rsidRPr="00DC23C3" w:rsidRDefault="000E627E" w:rsidP="00332EB6">
            <w:pPr>
              <w:pStyle w:val="Footer"/>
              <w:spacing w:before="60" w:after="60"/>
            </w:pPr>
            <w:r>
              <w:t>S</w:t>
            </w:r>
            <w:r w:rsidRPr="00DC23C3">
              <w:t>ite visit starting date</w:t>
            </w:r>
          </w:p>
        </w:tc>
        <w:tc>
          <w:tcPr>
            <w:tcW w:w="4111" w:type="dxa"/>
            <w:tcBorders>
              <w:top w:val="single" w:sz="12" w:space="0" w:color="auto"/>
            </w:tcBorders>
            <w:shd w:val="clear" w:color="auto" w:fill="FFFFFF"/>
            <w:vAlign w:val="center"/>
          </w:tcPr>
          <w:p w:rsidR="000E627E" w:rsidRPr="00DC23C3" w:rsidRDefault="000E627E" w:rsidP="00332EB6">
            <w:pPr>
              <w:pStyle w:val="Footer"/>
              <w:spacing w:before="60" w:after="60"/>
              <w:ind w:left="57"/>
            </w:pPr>
          </w:p>
        </w:tc>
      </w:tr>
      <w:tr w:rsidR="000E627E" w:rsidRPr="00DC23C3" w:rsidTr="00332EB6">
        <w:trPr>
          <w:cantSplit/>
        </w:trPr>
        <w:tc>
          <w:tcPr>
            <w:tcW w:w="4678" w:type="dxa"/>
            <w:tcBorders>
              <w:bottom w:val="single" w:sz="12" w:space="0" w:color="auto"/>
            </w:tcBorders>
            <w:shd w:val="pct5" w:color="auto" w:fill="auto"/>
            <w:vAlign w:val="center"/>
          </w:tcPr>
          <w:p w:rsidR="000E627E" w:rsidRPr="00DC23C3" w:rsidRDefault="000E627E" w:rsidP="00332EB6">
            <w:pPr>
              <w:pStyle w:val="Footer"/>
              <w:spacing w:before="60" w:after="60"/>
            </w:pPr>
            <w:r>
              <w:lastRenderedPageBreak/>
              <w:t>S</w:t>
            </w:r>
            <w:r w:rsidRPr="00DC23C3">
              <w:t>ite visit finishing date</w:t>
            </w:r>
          </w:p>
        </w:tc>
        <w:tc>
          <w:tcPr>
            <w:tcW w:w="4111" w:type="dxa"/>
            <w:tcBorders>
              <w:bottom w:val="single" w:sz="12" w:space="0" w:color="auto"/>
            </w:tcBorders>
            <w:vAlign w:val="center"/>
          </w:tcPr>
          <w:p w:rsidR="000E627E" w:rsidRPr="00DC23C3" w:rsidRDefault="000E627E" w:rsidP="00332EB6">
            <w:pPr>
              <w:pStyle w:val="Footer"/>
              <w:spacing w:before="60" w:after="60"/>
              <w:ind w:left="57"/>
            </w:pPr>
          </w:p>
        </w:tc>
      </w:tr>
    </w:tbl>
    <w:p w:rsidR="000E627E" w:rsidRDefault="000E627E" w:rsidP="000E627E">
      <w:pPr>
        <w:rPr>
          <w:b/>
          <w:sz w:val="28"/>
          <w:szCs w:val="28"/>
        </w:rPr>
      </w:pPr>
    </w:p>
    <w:p w:rsidR="000E627E" w:rsidRPr="000E6945" w:rsidRDefault="000E627E" w:rsidP="000E627E">
      <w:pPr>
        <w:rPr>
          <w:b/>
          <w:sz w:val="28"/>
          <w:szCs w:val="28"/>
        </w:rPr>
      </w:pPr>
      <w:r>
        <w:rPr>
          <w:b/>
          <w:sz w:val="28"/>
          <w:szCs w:val="28"/>
        </w:rPr>
        <w:t>Non compliances</w:t>
      </w:r>
      <w:r w:rsidRPr="00D742FF">
        <w:rPr>
          <w:rFonts w:ascii="Helvetica" w:eastAsia="Times New Roman" w:hAnsi="Helvetica" w:cs="Helvetica"/>
          <w:b/>
          <w:bCs/>
          <w:vanish/>
          <w:color w:val="444444"/>
          <w:kern w:val="36"/>
          <w:sz w:val="20"/>
          <w:szCs w:val="20"/>
          <w:lang w:val="en-US"/>
        </w:rPr>
        <w:t>Mängel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876"/>
        <w:gridCol w:w="3023"/>
      </w:tblGrid>
      <w:tr w:rsidR="000E627E" w:rsidRPr="00C115F1" w:rsidTr="00332EB6">
        <w:tc>
          <w:tcPr>
            <w:tcW w:w="2802" w:type="dxa"/>
            <w:shd w:val="clear" w:color="auto" w:fill="92D050"/>
          </w:tcPr>
          <w:p w:rsidR="000E627E" w:rsidRPr="00C51E29" w:rsidRDefault="000E627E" w:rsidP="00332EB6">
            <w:r w:rsidRPr="00C115F1">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494665</wp:posOffset>
                      </wp:positionH>
                      <wp:positionV relativeFrom="paragraph">
                        <wp:posOffset>300355</wp:posOffset>
                      </wp:positionV>
                      <wp:extent cx="234315" cy="196215"/>
                      <wp:effectExtent l="13335" t="7620"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A80A" id="Rectangle 3" o:spid="_x0000_s1026" style="position:absolute;margin-left:38.95pt;margin-top:23.65pt;width:18.4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" fillcolor="#92d050"/>
                  </w:pict>
                </mc:Fallback>
              </mc:AlternateContent>
            </w:r>
            <w:r w:rsidRPr="00C51E29">
              <w:t>No Non compliances</w:t>
            </w:r>
          </w:p>
          <w:p w:rsidR="000E627E" w:rsidRDefault="000E627E" w:rsidP="00332EB6"/>
          <w:p w:rsidR="000E627E" w:rsidRPr="00C51E29" w:rsidRDefault="000E627E" w:rsidP="00332EB6"/>
        </w:tc>
        <w:tc>
          <w:tcPr>
            <w:tcW w:w="3118" w:type="dxa"/>
            <w:shd w:val="clear" w:color="auto" w:fill="FFC000"/>
          </w:tcPr>
          <w:p w:rsidR="000E627E" w:rsidRPr="00C51E29" w:rsidRDefault="000E627E" w:rsidP="00332EB6">
            <w:r w:rsidRPr="00C115F1">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668020</wp:posOffset>
                      </wp:positionH>
                      <wp:positionV relativeFrom="paragraph">
                        <wp:posOffset>300355</wp:posOffset>
                      </wp:positionV>
                      <wp:extent cx="234315" cy="196215"/>
                      <wp:effectExtent l="13335" t="7620"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9735" id="Rectangle 2" o:spid="_x0000_s1026" style="position:absolute;margin-left:52.6pt;margin-top:23.65pt;width:18.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" fillcolor="#ffc000"/>
                  </w:pict>
                </mc:Fallback>
              </mc:AlternateContent>
            </w:r>
            <w:r w:rsidRPr="00C51E29">
              <w:t>Minor Non compliances</w:t>
            </w:r>
            <w:r>
              <w:rPr>
                <w:rStyle w:val="FootnoteReference"/>
              </w:rPr>
              <w:footnoteReference w:id="1"/>
            </w:r>
          </w:p>
          <w:p w:rsidR="000E627E" w:rsidRDefault="000E627E" w:rsidP="00332EB6"/>
          <w:p w:rsidR="000E627E" w:rsidRPr="00C51E29" w:rsidRDefault="000E627E" w:rsidP="00332EB6">
            <w:r w:rsidRPr="00C51E29">
              <w:t xml:space="preserve">Number: </w:t>
            </w:r>
          </w:p>
        </w:tc>
        <w:tc>
          <w:tcPr>
            <w:tcW w:w="3292" w:type="dxa"/>
            <w:shd w:val="clear" w:color="auto" w:fill="FF0000"/>
          </w:tcPr>
          <w:p w:rsidR="000E627E" w:rsidRPr="00C51E29" w:rsidRDefault="000E627E" w:rsidP="00332EB6">
            <w:r w:rsidRPr="00C115F1">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783590</wp:posOffset>
                      </wp:positionH>
                      <wp:positionV relativeFrom="paragraph">
                        <wp:posOffset>300355</wp:posOffset>
                      </wp:positionV>
                      <wp:extent cx="234315" cy="196215"/>
                      <wp:effectExtent l="13335" t="762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62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BB2F" id="Rectangle 1" o:spid="_x0000_s1026" style="position:absolute;margin-left:61.7pt;margin-top:23.65pt;width:18.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" fillcolor="red"/>
                  </w:pict>
                </mc:Fallback>
              </mc:AlternateContent>
            </w:r>
            <w:r w:rsidRPr="00C51E29">
              <w:t>Serious Non compliances</w:t>
            </w:r>
            <w:r>
              <w:rPr>
                <w:rStyle w:val="FootnoteReference"/>
              </w:rPr>
              <w:footnoteReference w:id="2"/>
            </w:r>
          </w:p>
          <w:p w:rsidR="000E627E" w:rsidRDefault="000E627E" w:rsidP="00332EB6"/>
          <w:p w:rsidR="000E627E" w:rsidRPr="00C51E29" w:rsidRDefault="000E627E" w:rsidP="00332EB6">
            <w:r w:rsidRPr="00C51E29">
              <w:t>Number:</w:t>
            </w:r>
          </w:p>
        </w:tc>
      </w:tr>
    </w:tbl>
    <w:p w:rsidR="000E627E" w:rsidRDefault="000E627E" w:rsidP="000E627E">
      <w:pPr>
        <w:rPr>
          <w:b/>
          <w:sz w:val="28"/>
          <w:szCs w:val="28"/>
        </w:rPr>
      </w:pPr>
    </w:p>
    <w:p w:rsidR="000E627E" w:rsidRDefault="000E627E" w:rsidP="000E627E">
      <w:pPr>
        <w:rPr>
          <w:b/>
          <w:sz w:val="28"/>
          <w:szCs w:val="28"/>
        </w:rPr>
      </w:pPr>
      <w:r>
        <w:rPr>
          <w:b/>
          <w:sz w:val="28"/>
          <w:szCs w:val="28"/>
        </w:rPr>
        <w:t>Sanctions</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0E627E" w:rsidRPr="00DC23C3" w:rsidTr="00332EB6">
        <w:trPr>
          <w:cantSplit/>
          <w:trHeight w:val="333"/>
        </w:trPr>
        <w:tc>
          <w:tcPr>
            <w:tcW w:w="8789" w:type="dxa"/>
            <w:tcBorders>
              <w:top w:val="single" w:sz="12" w:space="0" w:color="auto"/>
            </w:tcBorders>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Pr>
                <w:rFonts w:ascii="Calibri" w:hAnsi="Calibri" w:cs="Arial"/>
                <w:sz w:val="22"/>
                <w:lang w:val="en-GB"/>
              </w:rPr>
              <w:t>D</w:t>
            </w:r>
            <w:r w:rsidRPr="00DC23C3">
              <w:rPr>
                <w:rFonts w:ascii="Calibri" w:hAnsi="Calibri" w:cs="Arial"/>
                <w:sz w:val="22"/>
                <w:lang w:val="en-GB"/>
              </w:rPr>
              <w:t xml:space="preserve">escription </w:t>
            </w:r>
            <w:r>
              <w:rPr>
                <w:rFonts w:ascii="Calibri" w:hAnsi="Calibri" w:cs="Arial"/>
                <w:sz w:val="22"/>
                <w:lang w:val="en-GB"/>
              </w:rPr>
              <w:t xml:space="preserve">of sanctions </w:t>
            </w:r>
            <w:r w:rsidRPr="00DC23C3">
              <w:rPr>
                <w:rFonts w:ascii="Calibri" w:hAnsi="Calibri" w:cs="Arial"/>
                <w:sz w:val="22"/>
                <w:lang w:val="en-GB"/>
              </w:rPr>
              <w:t xml:space="preserve"> arising out of inspection</w:t>
            </w:r>
          </w:p>
        </w:tc>
      </w:tr>
      <w:tr w:rsidR="000E627E" w:rsidRPr="00DC23C3" w:rsidTr="00332EB6">
        <w:trPr>
          <w:cantSplit/>
        </w:trPr>
        <w:tc>
          <w:tcPr>
            <w:tcW w:w="8789" w:type="dxa"/>
            <w:tcBorders>
              <w:bottom w:val="single" w:sz="12" w:space="0" w:color="auto"/>
            </w:tcBorders>
            <w:vAlign w:val="center"/>
          </w:tcPr>
          <w:p w:rsidR="000E627E" w:rsidRPr="0064472F" w:rsidRDefault="000E627E" w:rsidP="00332EB6">
            <w:pPr>
              <w:rPr>
                <w:rFonts w:cs="Calibri"/>
                <w:i/>
              </w:rPr>
            </w:pPr>
            <w:r w:rsidRPr="0064472F">
              <w:rPr>
                <w:rFonts w:cs="Calibri"/>
                <w:i/>
              </w:rPr>
              <w:t>There are three categories of misdemeanours that are imposed:</w:t>
            </w:r>
          </w:p>
          <w:p w:rsidR="000E627E" w:rsidRPr="0064472F" w:rsidRDefault="000E627E" w:rsidP="000E627E">
            <w:pPr>
              <w:numPr>
                <w:ilvl w:val="0"/>
                <w:numId w:val="1"/>
              </w:numPr>
              <w:spacing w:after="160" w:line="259" w:lineRule="auto"/>
              <w:contextualSpacing/>
              <w:jc w:val="left"/>
              <w:rPr>
                <w:i/>
                <w:lang w:val="en-US"/>
              </w:rPr>
            </w:pPr>
            <w:r w:rsidRPr="0064472F">
              <w:rPr>
                <w:i/>
                <w:lang w:val="en-US"/>
              </w:rPr>
              <w:t>I-st category ,</w:t>
            </w:r>
          </w:p>
          <w:p w:rsidR="000E627E" w:rsidRPr="0064472F" w:rsidRDefault="000E627E" w:rsidP="000E627E">
            <w:pPr>
              <w:numPr>
                <w:ilvl w:val="0"/>
                <w:numId w:val="1"/>
              </w:numPr>
              <w:spacing w:after="160" w:line="259" w:lineRule="auto"/>
              <w:contextualSpacing/>
              <w:jc w:val="left"/>
              <w:rPr>
                <w:i/>
                <w:lang w:val="en-US"/>
              </w:rPr>
            </w:pPr>
            <w:r w:rsidRPr="0064472F">
              <w:rPr>
                <w:i/>
                <w:lang w:val="en-US"/>
              </w:rPr>
              <w:t>II-nd category,</w:t>
            </w:r>
          </w:p>
          <w:p w:rsidR="000E627E" w:rsidRPr="0064472F" w:rsidRDefault="000E627E" w:rsidP="000E627E">
            <w:pPr>
              <w:numPr>
                <w:ilvl w:val="0"/>
                <w:numId w:val="1"/>
              </w:numPr>
              <w:spacing w:after="160" w:line="259" w:lineRule="auto"/>
              <w:contextualSpacing/>
              <w:jc w:val="left"/>
              <w:rPr>
                <w:i/>
                <w:lang w:val="en-US"/>
              </w:rPr>
            </w:pPr>
            <w:r w:rsidRPr="0064472F">
              <w:rPr>
                <w:i/>
                <w:lang w:val="en-US"/>
              </w:rPr>
              <w:t>III-rd category.</w:t>
            </w:r>
          </w:p>
          <w:p w:rsidR="000E627E" w:rsidRPr="00DC23C3" w:rsidRDefault="000E627E" w:rsidP="00332EB6">
            <w:pPr>
              <w:rPr>
                <w:i/>
                <w:color w:val="FF0000"/>
              </w:rPr>
            </w:pPr>
            <w:r w:rsidRPr="00B91663">
              <w:rPr>
                <w:rFonts w:cs="Calibri"/>
                <w:i/>
              </w:rPr>
              <w:t xml:space="preserve">In case of non compliances what sanction will be used as the result of this inspection? </w:t>
            </w:r>
          </w:p>
        </w:tc>
      </w:tr>
    </w:tbl>
    <w:p w:rsidR="000E627E" w:rsidRDefault="000E627E" w:rsidP="000E627E">
      <w:pPr>
        <w:rPr>
          <w:b/>
          <w:sz w:val="28"/>
          <w:szCs w:val="28"/>
        </w:rPr>
      </w:pPr>
    </w:p>
    <w:p w:rsidR="000E627E" w:rsidRPr="00FB4B6A" w:rsidRDefault="000E627E" w:rsidP="000E627E">
      <w:pPr>
        <w:rPr>
          <w:b/>
          <w:sz w:val="28"/>
          <w:szCs w:val="28"/>
        </w:rPr>
      </w:pPr>
      <w:r>
        <w:rPr>
          <w:b/>
          <w:sz w:val="28"/>
          <w:szCs w:val="28"/>
        </w:rPr>
        <w:t>F</w:t>
      </w:r>
      <w:r w:rsidRPr="00FB4B6A">
        <w:rPr>
          <w:b/>
          <w:sz w:val="28"/>
          <w:szCs w:val="28"/>
        </w:rPr>
        <w:t>urther action</w:t>
      </w:r>
    </w:p>
    <w:tbl>
      <w:tblPr>
        <w:tblW w:w="8789"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789"/>
      </w:tblGrid>
      <w:tr w:rsidR="000E627E" w:rsidRPr="00DC23C3" w:rsidTr="00332EB6">
        <w:trPr>
          <w:cantSplit/>
          <w:trHeight w:val="333"/>
        </w:trPr>
        <w:tc>
          <w:tcPr>
            <w:tcW w:w="8789" w:type="dxa"/>
            <w:tcBorders>
              <w:top w:val="single" w:sz="12" w:space="0" w:color="auto"/>
            </w:tcBorders>
            <w:shd w:val="pct5" w:color="auto" w:fill="FFFFFF"/>
            <w:vAlign w:val="center"/>
          </w:tcPr>
          <w:p w:rsidR="000E627E" w:rsidRPr="00DC23C3" w:rsidRDefault="000E627E" w:rsidP="00332EB6">
            <w:pPr>
              <w:pStyle w:val="NormalWeb"/>
              <w:spacing w:before="62" w:beforeAutospacing="0" w:after="62"/>
              <w:rPr>
                <w:rFonts w:ascii="Calibri" w:hAnsi="Calibri" w:cs="Arial"/>
                <w:sz w:val="22"/>
                <w:szCs w:val="22"/>
                <w:lang w:val="en-GB"/>
              </w:rPr>
            </w:pPr>
            <w:r>
              <w:rPr>
                <w:rFonts w:ascii="Calibri" w:hAnsi="Calibri" w:cs="Arial"/>
                <w:sz w:val="22"/>
                <w:lang w:val="en-GB"/>
              </w:rPr>
              <w:t>D</w:t>
            </w:r>
            <w:r w:rsidRPr="00DC23C3">
              <w:rPr>
                <w:rFonts w:ascii="Calibri" w:hAnsi="Calibri" w:cs="Arial"/>
                <w:sz w:val="22"/>
                <w:lang w:val="en-GB"/>
              </w:rPr>
              <w:t>escription further action arising out of inspection</w:t>
            </w:r>
          </w:p>
        </w:tc>
      </w:tr>
      <w:tr w:rsidR="000E627E" w:rsidRPr="00DC23C3" w:rsidTr="00332EB6">
        <w:trPr>
          <w:cantSplit/>
        </w:trPr>
        <w:tc>
          <w:tcPr>
            <w:tcW w:w="8789" w:type="dxa"/>
            <w:tcBorders>
              <w:bottom w:val="single" w:sz="12" w:space="0" w:color="auto"/>
            </w:tcBorders>
            <w:vAlign w:val="center"/>
          </w:tcPr>
          <w:p w:rsidR="000E627E" w:rsidRPr="00DC23C3" w:rsidRDefault="000E627E" w:rsidP="00332EB6">
            <w:pPr>
              <w:rPr>
                <w:i/>
                <w:color w:val="FF0000"/>
              </w:rPr>
            </w:pPr>
            <w:r w:rsidRPr="007B23D1">
              <w:rPr>
                <w:rFonts w:cs="Calibri"/>
                <w:i/>
              </w:rPr>
              <w:t xml:space="preserve">(e.g. education, time to </w:t>
            </w:r>
            <w:r>
              <w:rPr>
                <w:rFonts w:cs="Calibri"/>
                <w:i/>
              </w:rPr>
              <w:t>solve non compliance</w:t>
            </w:r>
            <w:r w:rsidRPr="007B23D1">
              <w:rPr>
                <w:rFonts w:cs="Calibri"/>
                <w:i/>
              </w:rPr>
              <w:t>, next inspection)</w:t>
            </w:r>
            <w:r>
              <w:rPr>
                <w:i/>
                <w:color w:val="FF0000"/>
              </w:rPr>
              <w:t xml:space="preserve"> </w:t>
            </w:r>
          </w:p>
        </w:tc>
      </w:tr>
    </w:tbl>
    <w:p w:rsidR="000E627E" w:rsidRDefault="000E627E" w:rsidP="000E627E">
      <w:pPr>
        <w:rPr>
          <w:lang w:eastAsia="en-US"/>
        </w:rPr>
      </w:pPr>
    </w:p>
    <w:p w:rsidR="000E627E" w:rsidRDefault="000E627E" w:rsidP="000E627E">
      <w:pPr>
        <w:pStyle w:val="Heading3"/>
      </w:pPr>
    </w:p>
    <w:p w:rsidR="000E627E" w:rsidRDefault="000E627E" w:rsidP="000E627E">
      <w:pPr>
        <w:pStyle w:val="Heading3"/>
      </w:pPr>
      <w:bookmarkStart w:id="4" w:name="_Toc448313624"/>
      <w:bookmarkStart w:id="5" w:name="_Toc448915102"/>
      <w:r>
        <w:t>Guidance on the classification of non-compliances in IED installations</w:t>
      </w:r>
      <w:bookmarkEnd w:id="4"/>
      <w:bookmarkEnd w:id="5"/>
    </w:p>
    <w:p w:rsidR="000E627E" w:rsidRPr="002E1A0F" w:rsidRDefault="000E627E" w:rsidP="000E627E">
      <w:pPr>
        <w:spacing w:line="300" w:lineRule="atLeast"/>
        <w:rPr>
          <w:b/>
          <w:lang w:eastAsia="ar-SA"/>
        </w:rPr>
      </w:pPr>
      <w:r w:rsidRPr="002E1A0F">
        <w:rPr>
          <w:b/>
          <w:lang w:eastAsia="ar-SA"/>
        </w:rPr>
        <w:t>Keep in mind:</w:t>
      </w:r>
    </w:p>
    <w:p w:rsidR="000E627E" w:rsidRPr="002E1A0F" w:rsidRDefault="000E627E" w:rsidP="000E627E">
      <w:pPr>
        <w:spacing w:line="300" w:lineRule="atLeast"/>
        <w:rPr>
          <w:b/>
          <w:lang w:eastAsia="ar-SA"/>
        </w:rPr>
      </w:pPr>
      <w:r w:rsidRPr="002E1A0F">
        <w:rPr>
          <w:b/>
          <w:lang w:eastAsia="ar-SA"/>
        </w:rPr>
        <w:t>Every classification of non-compliance requires a case-by-case decision.</w:t>
      </w:r>
    </w:p>
    <w:p w:rsidR="000E627E" w:rsidRDefault="000E627E" w:rsidP="000E627E">
      <w:pPr>
        <w:tabs>
          <w:tab w:val="left" w:pos="708"/>
          <w:tab w:val="left" w:pos="1416"/>
          <w:tab w:val="left" w:pos="2124"/>
          <w:tab w:val="left" w:pos="2832"/>
          <w:tab w:val="left" w:pos="3540"/>
        </w:tabs>
        <w:rPr>
          <w:b/>
          <w:lang w:val="en-US"/>
        </w:rPr>
      </w:pPr>
      <w:r w:rsidRPr="002E1A0F">
        <w:rPr>
          <w:b/>
          <w:lang w:val="en-US"/>
        </w:rPr>
        <w:t>The classification should avoid discrepancies to other regulations. E.g. if it is a criminal offence to run an installation without a permit this should not be rated as a minor non-compliance.</w:t>
      </w:r>
    </w:p>
    <w:p w:rsidR="000E627E" w:rsidRPr="002E1A0F" w:rsidRDefault="000E627E" w:rsidP="000E627E">
      <w:pPr>
        <w:tabs>
          <w:tab w:val="left" w:pos="708"/>
          <w:tab w:val="left" w:pos="1416"/>
          <w:tab w:val="left" w:pos="2124"/>
          <w:tab w:val="left" w:pos="2832"/>
          <w:tab w:val="left" w:pos="3540"/>
        </w:tabs>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627E" w:rsidTr="00332EB6">
        <w:tc>
          <w:tcPr>
            <w:tcW w:w="5000" w:type="pct"/>
            <w:shd w:val="clear" w:color="auto" w:fill="FFC000"/>
          </w:tcPr>
          <w:p w:rsidR="000E627E" w:rsidRPr="008B3E52" w:rsidRDefault="000E627E" w:rsidP="00332EB6">
            <w:pPr>
              <w:rPr>
                <w:bCs/>
                <w:sz w:val="32"/>
                <w:szCs w:val="32"/>
              </w:rPr>
            </w:pPr>
            <w:r w:rsidRPr="008B3E52">
              <w:rPr>
                <w:bCs/>
                <w:sz w:val="32"/>
                <w:szCs w:val="32"/>
              </w:rPr>
              <w:t>Minor cases of non-compliance</w:t>
            </w:r>
            <w:r w:rsidRPr="008B3E52">
              <w:rPr>
                <w:rStyle w:val="FootnoteReference"/>
                <w:bCs/>
                <w:sz w:val="32"/>
                <w:szCs w:val="32"/>
              </w:rPr>
              <w:footnoteReference w:id="3"/>
            </w:r>
          </w:p>
        </w:tc>
      </w:tr>
    </w:tbl>
    <w:p w:rsidR="000E627E" w:rsidRDefault="000E627E" w:rsidP="000E627E">
      <w:pPr>
        <w:rPr>
          <w:b/>
        </w:rPr>
      </w:pPr>
    </w:p>
    <w:p w:rsidR="000E627E" w:rsidRPr="005702BD" w:rsidRDefault="000E627E" w:rsidP="000E627E">
      <w:pPr>
        <w:rPr>
          <w:b/>
        </w:rPr>
      </w:pPr>
      <w:r w:rsidRPr="005702BD">
        <w:rPr>
          <w:b/>
        </w:rPr>
        <w:t>Description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lastRenderedPageBreak/>
        <w:t>Non-compliances that have a low risk of damage to the environment, so within a reasonable period of time appropriate measures must be taken to eliminate the non-compliances;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Only minor violations of permit conditions /legal obligations/operator duties with no consequences on the protection measures  against pollution.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Emission limit values, environmental quality standards and other limitations are still met.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The aim of the permit (to protect the human health and the environment against pollution and to take precautionary measures against pollution) is still achieved.</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The competent authority gives a point of attention to the operator, without a limited timeframe.</w:t>
      </w:r>
    </w:p>
    <w:p w:rsidR="000E627E" w:rsidRDefault="000E627E" w:rsidP="000E627E">
      <w:pPr>
        <w:rPr>
          <w:b/>
        </w:rPr>
      </w:pPr>
    </w:p>
    <w:p w:rsidR="000E627E" w:rsidRPr="005702BD" w:rsidRDefault="000E627E" w:rsidP="000E627E">
      <w:pPr>
        <w:rPr>
          <w:b/>
        </w:rPr>
      </w:pPr>
      <w:r w:rsidRPr="005702BD">
        <w:rPr>
          <w:b/>
        </w:rPr>
        <w:t>Cases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Operations diary is not kept orderly or only with delay</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work instructions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Pipelines are not labelled properly</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Documentation of stipulated maintenance work is not directly available</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or inadequate records, if required, such as: data on raw material consumption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data on waste types and waste quantities, solvent management plan, etc.</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or inadequate waste management plan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Not adequate safety precautions at storage units of or for the handling of environmentally hazardous substances (e.g. catch basin)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Emission measurement reports incomplete or the measuring itself is not in accordance with the state of the art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 xml:space="preserve">Some data missing from the continuous measurements </w:t>
      </w:r>
      <w:r w:rsidRPr="00297C29">
        <w:rPr>
          <w:rStyle w:val="FootnoteReference"/>
          <w:sz w:val="22"/>
        </w:rPr>
        <w:footnoteReference w:id="4"/>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Exceeded deadline for periodic reports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Other obligations under environmental law for reporting or verification not met</w:t>
      </w:r>
    </w:p>
    <w:p w:rsidR="000E627E" w:rsidRDefault="000E627E" w:rsidP="000E627E">
      <w:pPr>
        <w:tabs>
          <w:tab w:val="num" w:pos="426"/>
        </w:tabs>
        <w:spacing w:line="240" w:lineRule="auto"/>
        <w:jc w:val="left"/>
        <w:rPr>
          <w:sz w:val="21"/>
          <w:szCs w:val="21"/>
        </w:rPr>
      </w:pPr>
    </w:p>
    <w:p w:rsidR="000E627E" w:rsidRDefault="000E627E" w:rsidP="000E627E">
      <w:pPr>
        <w:spacing w:line="240" w:lineRule="auto"/>
        <w:jc w:val="lef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627E" w:rsidTr="00332EB6">
        <w:tc>
          <w:tcPr>
            <w:tcW w:w="5000" w:type="pct"/>
            <w:shd w:val="clear" w:color="auto" w:fill="FF0000"/>
          </w:tcPr>
          <w:p w:rsidR="000E627E" w:rsidRPr="008B3E52" w:rsidRDefault="000E627E" w:rsidP="00332EB6">
            <w:pPr>
              <w:rPr>
                <w:bCs/>
                <w:sz w:val="32"/>
                <w:szCs w:val="32"/>
              </w:rPr>
            </w:pPr>
            <w:r w:rsidRPr="008B3E52">
              <w:rPr>
                <w:bCs/>
                <w:sz w:val="32"/>
                <w:szCs w:val="32"/>
              </w:rPr>
              <w:t>Serious cases of non-compliance</w:t>
            </w:r>
          </w:p>
        </w:tc>
      </w:tr>
    </w:tbl>
    <w:p w:rsidR="000E627E" w:rsidRDefault="000E627E" w:rsidP="000E627E">
      <w:pPr>
        <w:rPr>
          <w:b/>
        </w:rPr>
      </w:pPr>
    </w:p>
    <w:p w:rsidR="000E627E" w:rsidRPr="005702BD" w:rsidRDefault="000E627E" w:rsidP="000E627E">
      <w:pPr>
        <w:rPr>
          <w:b/>
        </w:rPr>
      </w:pPr>
      <w:r w:rsidRPr="005702BD">
        <w:rPr>
          <w:b/>
        </w:rPr>
        <w:t>Description</w:t>
      </w:r>
    </w:p>
    <w:p w:rsidR="000E627E" w:rsidRPr="00297C29" w:rsidRDefault="000E627E" w:rsidP="000E627E">
      <w:pPr>
        <w:pStyle w:val="ListParagraph"/>
        <w:numPr>
          <w:ilvl w:val="0"/>
          <w:numId w:val="2"/>
        </w:numPr>
        <w:tabs>
          <w:tab w:val="clear" w:pos="720"/>
          <w:tab w:val="num" w:pos="426"/>
          <w:tab w:val="left" w:pos="1416"/>
          <w:tab w:val="left" w:pos="2124"/>
          <w:tab w:val="left" w:pos="2832"/>
          <w:tab w:val="left" w:pos="3540"/>
        </w:tabs>
        <w:spacing w:after="0" w:line="240" w:lineRule="auto"/>
        <w:ind w:left="426" w:hanging="284"/>
        <w:contextualSpacing w:val="0"/>
        <w:rPr>
          <w:sz w:val="22"/>
          <w:lang w:val="en-US"/>
        </w:rPr>
      </w:pPr>
      <w:r w:rsidRPr="00297C29">
        <w:rPr>
          <w:sz w:val="22"/>
          <w:lang w:val="en-US"/>
        </w:rPr>
        <w:t>Violation of an environmental quality standard or non-compliance that could lead to a maximum potential impact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 xml:space="preserve">The aim of the permit (to protect the human health and the environment against pollution and to take precautionary measures against pollution) is in question or not even met. </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Violations of permit conditions/violations of legal obligations/operator duties which can have consequences on the protection against pollution, or which derogate the protection against pollution.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Non-compliances that may cause a risk of harm to the environment or the damage has already occurred, so within a reasonable period of time appropriate measures must be taken to eliminate the non-compliances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Non-compliances that cause a serious risk of substantial harm to the environment or the damage has already occurred, so usually immediately appropriate measures must be taken to eliminate the non-compliances.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lastRenderedPageBreak/>
        <w:t>Breaching the operator’s duty of informing the competent authority about non-compliances and changes of the operation within the periods established in legislation.</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It is unclear if the emission limit values are complied with.</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 xml:space="preserve">Emission limit values, environmental quality standards or other limitations are not met. </w:t>
      </w:r>
      <w:r w:rsidRPr="00297C29">
        <w:rPr>
          <w:i/>
          <w:sz w:val="22"/>
        </w:rPr>
        <w:t xml:space="preserve">  </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Several or repeated similar relevant non-compliances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lang w:val="en-US"/>
        </w:rPr>
        <w:t>Non-compliance very important in terms of complaints and public perception</w:t>
      </w:r>
    </w:p>
    <w:p w:rsidR="000E627E" w:rsidRDefault="000E627E" w:rsidP="000E627E">
      <w:pPr>
        <w:rPr>
          <w:b/>
        </w:rPr>
      </w:pPr>
    </w:p>
    <w:p w:rsidR="000E627E" w:rsidRPr="005702BD" w:rsidRDefault="000E627E" w:rsidP="000E627E">
      <w:pPr>
        <w:rPr>
          <w:b/>
        </w:rPr>
      </w:pPr>
      <w:r w:rsidRPr="005702BD">
        <w:rPr>
          <w:b/>
        </w:rPr>
        <w:t>Cases</w:t>
      </w:r>
    </w:p>
    <w:p w:rsidR="000E627E" w:rsidRPr="00297C29" w:rsidRDefault="000E627E" w:rsidP="000E627E">
      <w:pPr>
        <w:numPr>
          <w:ilvl w:val="0"/>
          <w:numId w:val="2"/>
        </w:numPr>
        <w:tabs>
          <w:tab w:val="clear" w:pos="720"/>
          <w:tab w:val="num" w:pos="426"/>
        </w:tabs>
        <w:spacing w:line="300" w:lineRule="atLeast"/>
        <w:ind w:left="426" w:hanging="284"/>
        <w:jc w:val="left"/>
        <w:rPr>
          <w:sz w:val="22"/>
          <w:lang w:eastAsia="ar-SA"/>
        </w:rPr>
      </w:pPr>
      <w:r w:rsidRPr="00297C29">
        <w:rPr>
          <w:sz w:val="22"/>
          <w:lang w:eastAsia="ar-SA"/>
        </w:rPr>
        <w:t>Presence of "imminent danger" to the environment</w:t>
      </w:r>
    </w:p>
    <w:p w:rsidR="000E627E" w:rsidRPr="00297C29" w:rsidRDefault="000E627E" w:rsidP="000E627E">
      <w:pPr>
        <w:numPr>
          <w:ilvl w:val="0"/>
          <w:numId w:val="2"/>
        </w:numPr>
        <w:tabs>
          <w:tab w:val="clear" w:pos="720"/>
          <w:tab w:val="num" w:pos="426"/>
        </w:tabs>
        <w:spacing w:line="300" w:lineRule="atLeast"/>
        <w:ind w:left="426" w:hanging="284"/>
        <w:jc w:val="left"/>
        <w:rPr>
          <w:sz w:val="22"/>
          <w:lang w:eastAsia="ar-SA"/>
        </w:rPr>
      </w:pPr>
      <w:r w:rsidRPr="00297C29">
        <w:rPr>
          <w:sz w:val="22"/>
          <w:lang w:eastAsia="ar-SA"/>
        </w:rPr>
        <w:t>Misoperation with potential big impact</w:t>
      </w:r>
    </w:p>
    <w:p w:rsidR="000E627E" w:rsidRPr="00297C29" w:rsidRDefault="000E627E" w:rsidP="000E627E">
      <w:pPr>
        <w:numPr>
          <w:ilvl w:val="0"/>
          <w:numId w:val="2"/>
        </w:numPr>
        <w:tabs>
          <w:tab w:val="clear" w:pos="720"/>
          <w:tab w:val="num" w:pos="426"/>
        </w:tabs>
        <w:spacing w:line="300" w:lineRule="atLeast"/>
        <w:ind w:left="426" w:hanging="284"/>
        <w:jc w:val="left"/>
        <w:rPr>
          <w:sz w:val="22"/>
          <w:lang w:eastAsia="ar-SA"/>
        </w:rPr>
      </w:pPr>
      <w:r w:rsidRPr="00297C29">
        <w:rPr>
          <w:sz w:val="22"/>
          <w:lang w:eastAsia="ar-SA"/>
        </w:rPr>
        <w:t>Operation of an installation without permit or a substantial change of an installation without changes of the permit</w:t>
      </w:r>
    </w:p>
    <w:p w:rsidR="000E627E" w:rsidRPr="00297C29" w:rsidRDefault="000E627E" w:rsidP="000E627E">
      <w:pPr>
        <w:numPr>
          <w:ilvl w:val="0"/>
          <w:numId w:val="2"/>
        </w:numPr>
        <w:tabs>
          <w:tab w:val="clear" w:pos="720"/>
          <w:tab w:val="num" w:pos="426"/>
        </w:tabs>
        <w:spacing w:line="300" w:lineRule="atLeast"/>
        <w:ind w:left="426" w:hanging="284"/>
        <w:jc w:val="left"/>
        <w:rPr>
          <w:sz w:val="22"/>
          <w:lang w:eastAsia="ar-SA"/>
        </w:rPr>
      </w:pPr>
      <w:r w:rsidRPr="00297C29">
        <w:rPr>
          <w:sz w:val="22"/>
          <w:lang w:eastAsia="ar-SA"/>
        </w:rPr>
        <w:t xml:space="preserve">Relevant exceeding of the maximum permitted waste storage capacity </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For waste treatment installations: activity not covered by the permit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permit for a mode of operation, which may affect emissions</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annual self monitoring report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Missing (audit or emission or monitoring) report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 xml:space="preserve">Missing emission measurement report, if required, or deadline for periodic report exceeded by far </w:t>
      </w:r>
      <w:r w:rsidRPr="00297C29">
        <w:rPr>
          <w:rStyle w:val="FootnoteReference"/>
          <w:sz w:val="22"/>
        </w:rPr>
        <w:footnoteReference w:id="5"/>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Failure of monitoring systems of a noise protection facility without exceeding of ambient noise limit values</w:t>
      </w:r>
    </w:p>
    <w:p w:rsidR="000E627E" w:rsidRPr="00297C29" w:rsidRDefault="000E627E" w:rsidP="000E627E">
      <w:pPr>
        <w:numPr>
          <w:ilvl w:val="0"/>
          <w:numId w:val="2"/>
        </w:numPr>
        <w:tabs>
          <w:tab w:val="clear" w:pos="720"/>
          <w:tab w:val="num" w:pos="426"/>
        </w:tabs>
        <w:spacing w:line="300" w:lineRule="atLeast"/>
        <w:ind w:left="426" w:hanging="284"/>
        <w:jc w:val="left"/>
        <w:rPr>
          <w:sz w:val="22"/>
          <w:lang w:eastAsia="ar-SA"/>
        </w:rPr>
      </w:pPr>
      <w:r w:rsidRPr="00297C29">
        <w:rPr>
          <w:sz w:val="22"/>
          <w:lang w:eastAsia="ar-SA"/>
        </w:rPr>
        <w:t xml:space="preserve">Maintenance or monitoring of environmentally relevant parts of the installation does not exist </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Continuous measurements severely deficient, measuring device not operational or does not exist at all</w:t>
      </w:r>
    </w:p>
    <w:p w:rsidR="000E627E" w:rsidRPr="00297C29" w:rsidRDefault="000E627E" w:rsidP="000E627E">
      <w:pPr>
        <w:numPr>
          <w:ilvl w:val="0"/>
          <w:numId w:val="2"/>
        </w:numPr>
        <w:tabs>
          <w:tab w:val="clear" w:pos="720"/>
          <w:tab w:val="num" w:pos="426"/>
        </w:tabs>
        <w:spacing w:line="300" w:lineRule="atLeast"/>
        <w:ind w:left="426" w:hanging="284"/>
        <w:jc w:val="left"/>
        <w:rPr>
          <w:sz w:val="22"/>
          <w:lang w:val="en-US"/>
        </w:rPr>
      </w:pPr>
      <w:r w:rsidRPr="00297C29">
        <w:rPr>
          <w:sz w:val="22"/>
          <w:lang w:eastAsia="ar-SA"/>
        </w:rPr>
        <w:t>Exceeding emission limit values (based on BAT-AELs) that could lead to significant</w:t>
      </w:r>
      <w:r w:rsidRPr="00297C29">
        <w:rPr>
          <w:sz w:val="22"/>
          <w:lang w:val="en-US"/>
        </w:rPr>
        <w:t xml:space="preserve"> impacts on public health and environment</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 xml:space="preserve">Important exceedance of an emission limit value </w:t>
      </w:r>
      <w:r w:rsidRPr="00297C29">
        <w:rPr>
          <w:rStyle w:val="FootnoteReference"/>
          <w:sz w:val="22"/>
        </w:rPr>
        <w:footnoteReference w:id="6"/>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Frequency of maintenance is not complied with</w:t>
      </w:r>
    </w:p>
    <w:p w:rsidR="000E627E" w:rsidRPr="00297C29" w:rsidRDefault="000E627E" w:rsidP="000E627E">
      <w:pPr>
        <w:numPr>
          <w:ilvl w:val="0"/>
          <w:numId w:val="2"/>
        </w:numPr>
        <w:tabs>
          <w:tab w:val="clear" w:pos="720"/>
          <w:tab w:val="num" w:pos="426"/>
        </w:tabs>
        <w:spacing w:line="240" w:lineRule="auto"/>
        <w:ind w:left="426" w:hanging="284"/>
        <w:jc w:val="left"/>
        <w:rPr>
          <w:sz w:val="22"/>
        </w:rPr>
      </w:pPr>
      <w:r w:rsidRPr="00297C29">
        <w:rPr>
          <w:sz w:val="22"/>
        </w:rPr>
        <w:t>Maintenance work on an exhaust gas cleaning facility was not carried out</w:t>
      </w:r>
    </w:p>
    <w:p w:rsidR="000E627E" w:rsidRPr="00297C29" w:rsidRDefault="000E627E" w:rsidP="000E627E">
      <w:pPr>
        <w:numPr>
          <w:ilvl w:val="0"/>
          <w:numId w:val="3"/>
        </w:numPr>
        <w:tabs>
          <w:tab w:val="clear" w:pos="720"/>
          <w:tab w:val="num" w:pos="426"/>
        </w:tabs>
        <w:spacing w:line="240" w:lineRule="auto"/>
        <w:ind w:left="426" w:hanging="284"/>
        <w:jc w:val="left"/>
        <w:rPr>
          <w:sz w:val="22"/>
        </w:rPr>
      </w:pPr>
      <w:r w:rsidRPr="00297C29">
        <w:rPr>
          <w:sz w:val="22"/>
        </w:rPr>
        <w:t>Missing safety precautions at storage units of or for the handling of environmentally hazardous substances (eg, catch basin)</w:t>
      </w:r>
    </w:p>
    <w:p w:rsidR="000E627E" w:rsidRPr="00297C29" w:rsidRDefault="000E627E" w:rsidP="000E627E">
      <w:pPr>
        <w:numPr>
          <w:ilvl w:val="0"/>
          <w:numId w:val="3"/>
        </w:numPr>
        <w:tabs>
          <w:tab w:val="clear" w:pos="720"/>
          <w:tab w:val="num" w:pos="426"/>
        </w:tabs>
        <w:spacing w:line="300" w:lineRule="atLeast"/>
        <w:ind w:left="426" w:hanging="284"/>
        <w:jc w:val="left"/>
        <w:rPr>
          <w:sz w:val="22"/>
          <w:lang w:eastAsia="ar-SA"/>
        </w:rPr>
      </w:pPr>
      <w:r w:rsidRPr="00297C29">
        <w:rPr>
          <w:sz w:val="22"/>
          <w:lang w:eastAsia="ar-SA"/>
        </w:rPr>
        <w:t>Operation of a malfunctioning filter installations or protection systems with important exceeding of emission limit values</w:t>
      </w:r>
      <w:r w:rsidRPr="00297C29">
        <w:rPr>
          <w:rStyle w:val="FootnoteReference"/>
          <w:sz w:val="22"/>
          <w:lang w:eastAsia="ar-SA"/>
        </w:rPr>
        <w:footnoteReference w:id="7"/>
      </w:r>
    </w:p>
    <w:p w:rsidR="000E627E" w:rsidRPr="00297C29" w:rsidRDefault="000E627E" w:rsidP="000E627E">
      <w:pPr>
        <w:numPr>
          <w:ilvl w:val="0"/>
          <w:numId w:val="3"/>
        </w:numPr>
        <w:tabs>
          <w:tab w:val="clear" w:pos="720"/>
          <w:tab w:val="num" w:pos="426"/>
        </w:tabs>
        <w:spacing w:line="300" w:lineRule="atLeast"/>
        <w:ind w:left="426" w:hanging="284"/>
        <w:jc w:val="left"/>
        <w:rPr>
          <w:sz w:val="22"/>
          <w:lang w:eastAsia="ar-SA"/>
        </w:rPr>
      </w:pPr>
      <w:r w:rsidRPr="00297C29">
        <w:rPr>
          <w:sz w:val="22"/>
          <w:lang w:eastAsia="ar-SA"/>
        </w:rPr>
        <w:t xml:space="preserve">Storage of dangerous (liquid) waste on unprotected soil </w:t>
      </w:r>
    </w:p>
    <w:p w:rsidR="000E627E" w:rsidRPr="00297C29" w:rsidRDefault="000E627E" w:rsidP="000E627E">
      <w:pPr>
        <w:numPr>
          <w:ilvl w:val="0"/>
          <w:numId w:val="3"/>
        </w:numPr>
        <w:tabs>
          <w:tab w:val="clear" w:pos="720"/>
          <w:tab w:val="num" w:pos="426"/>
        </w:tabs>
        <w:spacing w:line="300" w:lineRule="atLeast"/>
        <w:ind w:left="426" w:hanging="284"/>
        <w:jc w:val="left"/>
        <w:rPr>
          <w:sz w:val="22"/>
          <w:lang w:eastAsia="ar-SA"/>
        </w:rPr>
      </w:pPr>
      <w:r w:rsidRPr="00297C29">
        <w:rPr>
          <w:sz w:val="22"/>
          <w:lang w:eastAsia="ar-SA"/>
        </w:rPr>
        <w:t xml:space="preserve">Operation of an old single-walled sub soil pipeline for hazardous substances without proper protection against corrosion </w:t>
      </w:r>
    </w:p>
    <w:p w:rsidR="000E627E" w:rsidRPr="00297C29" w:rsidRDefault="000E627E" w:rsidP="000E627E">
      <w:pPr>
        <w:numPr>
          <w:ilvl w:val="0"/>
          <w:numId w:val="3"/>
        </w:numPr>
        <w:tabs>
          <w:tab w:val="clear" w:pos="720"/>
          <w:tab w:val="num" w:pos="426"/>
        </w:tabs>
        <w:spacing w:line="300" w:lineRule="atLeast"/>
        <w:ind w:left="426" w:hanging="284"/>
        <w:jc w:val="left"/>
        <w:rPr>
          <w:sz w:val="22"/>
          <w:lang w:eastAsia="ar-SA"/>
        </w:rPr>
      </w:pPr>
      <w:r w:rsidRPr="00297C29">
        <w:rPr>
          <w:sz w:val="22"/>
          <w:lang w:eastAsia="ar-SA"/>
        </w:rPr>
        <w:t>Inoperative emission control system or wastewater treatment system</w:t>
      </w:r>
    </w:p>
    <w:p w:rsidR="000E627E" w:rsidRPr="00297C29" w:rsidRDefault="000E627E" w:rsidP="000E627E">
      <w:pPr>
        <w:numPr>
          <w:ilvl w:val="0"/>
          <w:numId w:val="3"/>
        </w:numPr>
        <w:tabs>
          <w:tab w:val="clear" w:pos="720"/>
          <w:tab w:val="num" w:pos="426"/>
        </w:tabs>
        <w:spacing w:line="240" w:lineRule="auto"/>
        <w:ind w:left="426" w:hanging="284"/>
        <w:jc w:val="left"/>
        <w:rPr>
          <w:sz w:val="22"/>
        </w:rPr>
      </w:pPr>
      <w:r w:rsidRPr="00297C29">
        <w:rPr>
          <w:sz w:val="22"/>
        </w:rPr>
        <w:t>Continuously existing minor non-compliances</w:t>
      </w:r>
    </w:p>
    <w:p w:rsidR="000E627E" w:rsidRPr="00297C29" w:rsidRDefault="000E627E" w:rsidP="000E627E">
      <w:pPr>
        <w:numPr>
          <w:ilvl w:val="0"/>
          <w:numId w:val="3"/>
        </w:numPr>
        <w:tabs>
          <w:tab w:val="clear" w:pos="720"/>
          <w:tab w:val="num" w:pos="426"/>
        </w:tabs>
        <w:spacing w:line="240" w:lineRule="auto"/>
        <w:ind w:left="426" w:hanging="284"/>
        <w:jc w:val="left"/>
        <w:rPr>
          <w:sz w:val="22"/>
        </w:rPr>
      </w:pPr>
      <w:r w:rsidRPr="00297C29">
        <w:rPr>
          <w:sz w:val="22"/>
        </w:rPr>
        <w:t>Orders from previous inspection reports are not fulfilled</w:t>
      </w:r>
    </w:p>
    <w:p w:rsidR="00180A12" w:rsidRDefault="00771447" w:rsidP="000E627E">
      <w:bookmarkStart w:id="6" w:name="_GoBack"/>
      <w:bookmarkEnd w:id="6"/>
    </w:p>
    <w:sectPr w:rsidR="00180A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47" w:rsidRDefault="00771447" w:rsidP="000E627E">
      <w:pPr>
        <w:spacing w:line="240" w:lineRule="auto"/>
      </w:pPr>
      <w:r>
        <w:separator/>
      </w:r>
    </w:p>
  </w:endnote>
  <w:endnote w:type="continuationSeparator" w:id="0">
    <w:p w:rsidR="00771447" w:rsidRDefault="00771447" w:rsidP="000E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47" w:rsidRDefault="00771447" w:rsidP="000E627E">
      <w:pPr>
        <w:spacing w:line="240" w:lineRule="auto"/>
      </w:pPr>
      <w:r>
        <w:separator/>
      </w:r>
    </w:p>
  </w:footnote>
  <w:footnote w:type="continuationSeparator" w:id="0">
    <w:p w:rsidR="00771447" w:rsidRDefault="00771447" w:rsidP="000E627E">
      <w:pPr>
        <w:spacing w:line="240" w:lineRule="auto"/>
      </w:pPr>
      <w:r>
        <w:continuationSeparator/>
      </w:r>
    </w:p>
  </w:footnote>
  <w:footnote w:id="1">
    <w:p w:rsidR="000E627E" w:rsidRPr="00354CDD" w:rsidRDefault="000E627E" w:rsidP="000E627E">
      <w:pPr>
        <w:pStyle w:val="FootnoteText"/>
        <w:rPr>
          <w:lang w:val="en-US"/>
        </w:rPr>
      </w:pPr>
      <w:r>
        <w:rPr>
          <w:rStyle w:val="FootnoteReference"/>
        </w:rPr>
        <w:footnoteRef/>
      </w:r>
      <w:r>
        <w:t xml:space="preserve"> </w:t>
      </w:r>
      <w:r>
        <w:rPr>
          <w:lang w:val="en-US"/>
        </w:rPr>
        <w:t xml:space="preserve">Follow the definition </w:t>
      </w:r>
      <w:r w:rsidRPr="00354CDD">
        <w:rPr>
          <w:lang w:val="en-US"/>
        </w:rPr>
        <w:t>for</w:t>
      </w:r>
      <w:r>
        <w:rPr>
          <w:lang w:val="en-US"/>
        </w:rPr>
        <w:t xml:space="preserve"> minor cases of non-compliance described below</w:t>
      </w:r>
    </w:p>
  </w:footnote>
  <w:footnote w:id="2">
    <w:p w:rsidR="000E627E" w:rsidRPr="007B23D1" w:rsidRDefault="000E627E" w:rsidP="000E627E">
      <w:pPr>
        <w:rPr>
          <w:rFonts w:ascii="Arial" w:eastAsia="Times New Roman" w:hAnsi="Arial"/>
          <w:sz w:val="20"/>
          <w:szCs w:val="20"/>
          <w:lang w:val="en-US" w:eastAsia="fi-FI"/>
        </w:rPr>
      </w:pPr>
      <w:r>
        <w:rPr>
          <w:rStyle w:val="FootnoteReference"/>
        </w:rPr>
        <w:footnoteRef/>
      </w:r>
      <w:r>
        <w:t xml:space="preserve"> </w:t>
      </w:r>
      <w:r w:rsidRPr="007B23D1">
        <w:rPr>
          <w:rFonts w:ascii="Arial" w:eastAsia="Times New Roman" w:hAnsi="Arial"/>
          <w:sz w:val="20"/>
          <w:szCs w:val="20"/>
          <w:lang w:val="en-US" w:eastAsia="fi-FI"/>
        </w:rPr>
        <w:t xml:space="preserve">Follow the definition for </w:t>
      </w:r>
      <w:r>
        <w:rPr>
          <w:rFonts w:ascii="Arial" w:eastAsia="Times New Roman" w:hAnsi="Arial"/>
          <w:sz w:val="20"/>
          <w:szCs w:val="20"/>
          <w:lang w:val="en-US" w:eastAsia="fi-FI"/>
        </w:rPr>
        <w:t>serious</w:t>
      </w:r>
      <w:r w:rsidRPr="007B23D1">
        <w:rPr>
          <w:rFonts w:ascii="Arial" w:eastAsia="Times New Roman" w:hAnsi="Arial"/>
          <w:sz w:val="20"/>
          <w:szCs w:val="20"/>
          <w:lang w:val="en-US" w:eastAsia="fi-FI"/>
        </w:rPr>
        <w:t xml:space="preserve"> cases of non-compliance </w:t>
      </w:r>
      <w:r>
        <w:rPr>
          <w:lang w:val="en-US"/>
        </w:rPr>
        <w:t>described below</w:t>
      </w:r>
    </w:p>
    <w:p w:rsidR="000E627E" w:rsidRDefault="000E627E" w:rsidP="000E627E">
      <w:pPr>
        <w:rPr>
          <w:b/>
          <w:bCs/>
        </w:rPr>
      </w:pPr>
    </w:p>
    <w:p w:rsidR="000E627E" w:rsidRPr="00354CDD" w:rsidRDefault="000E627E" w:rsidP="000E627E">
      <w:pPr>
        <w:pStyle w:val="FootnoteText"/>
      </w:pPr>
    </w:p>
  </w:footnote>
  <w:footnote w:id="3">
    <w:p w:rsidR="000E627E" w:rsidRPr="009E39F8" w:rsidRDefault="000E627E" w:rsidP="000E627E">
      <w:pPr>
        <w:pStyle w:val="FootnoteText"/>
        <w:rPr>
          <w:lang w:val="en-US"/>
        </w:rPr>
      </w:pPr>
      <w:r>
        <w:rPr>
          <w:rStyle w:val="FootnoteReference"/>
        </w:rPr>
        <w:footnoteRef/>
      </w:r>
      <w:r>
        <w:t xml:space="preserve"> </w:t>
      </w:r>
      <w:r w:rsidRPr="004719D0">
        <w:rPr>
          <w:lang w:eastAsia="ar-SA"/>
        </w:rPr>
        <w:t>This division is based on</w:t>
      </w:r>
      <w:r>
        <w:rPr>
          <w:lang w:eastAsia="ar-SA"/>
        </w:rPr>
        <w:t xml:space="preserve"> the</w:t>
      </w:r>
      <w:r w:rsidRPr="004719D0">
        <w:rPr>
          <w:lang w:eastAsia="ar-SA"/>
        </w:rPr>
        <w:t xml:space="preserve"> IMPEL report “Supporting implementation of the Industrial Emission</w:t>
      </w:r>
      <w:r>
        <w:rPr>
          <w:lang w:eastAsia="ar-SA"/>
        </w:rPr>
        <w:t>s</w:t>
      </w:r>
      <w:r w:rsidRPr="004719D0">
        <w:rPr>
          <w:lang w:eastAsia="ar-SA"/>
        </w:rPr>
        <w:t xml:space="preserve"> Directive”</w:t>
      </w:r>
      <w:r>
        <w:rPr>
          <w:lang w:eastAsia="ar-SA"/>
        </w:rPr>
        <w:t>, still unpublished</w:t>
      </w:r>
      <w:r w:rsidRPr="004719D0">
        <w:rPr>
          <w:lang w:eastAsia="ar-SA"/>
        </w:rPr>
        <w:t> </w:t>
      </w:r>
    </w:p>
  </w:footnote>
  <w:footnote w:id="4">
    <w:p w:rsidR="000E627E" w:rsidRPr="009B7FD7" w:rsidRDefault="000E627E" w:rsidP="000E627E">
      <w:pPr>
        <w:pStyle w:val="FootnoteText"/>
        <w:rPr>
          <w:lang w:val="en-US"/>
        </w:rPr>
      </w:pPr>
      <w:r>
        <w:rPr>
          <w:rStyle w:val="FootnoteReference"/>
        </w:rPr>
        <w:footnoteRef/>
      </w:r>
      <w:r>
        <w:t xml:space="preserve"> </w:t>
      </w:r>
      <w:r w:rsidRPr="009B7FD7">
        <w:t>Depending on the type and frequency of the measurement, and the amount of missing data, it may be considered as a serious non-compliance</w:t>
      </w:r>
    </w:p>
  </w:footnote>
  <w:footnote w:id="5">
    <w:p w:rsidR="000E627E" w:rsidRPr="009B7FD7" w:rsidRDefault="000E627E" w:rsidP="000E627E">
      <w:pPr>
        <w:pStyle w:val="FootnoteText"/>
        <w:rPr>
          <w:lang w:val="en-US"/>
        </w:rPr>
      </w:pPr>
      <w:r>
        <w:rPr>
          <w:rStyle w:val="FootnoteReference"/>
        </w:rPr>
        <w:footnoteRef/>
      </w:r>
      <w:r>
        <w:t xml:space="preserve"> It is recommended that criteria should be internally agreed in SEI to decide what is meant with “by far”. Please take into account that it depends e.g. on the frequency of the measuring.</w:t>
      </w:r>
    </w:p>
  </w:footnote>
  <w:footnote w:id="6">
    <w:p w:rsidR="000E627E" w:rsidRPr="009B7FD7" w:rsidRDefault="000E627E" w:rsidP="000E627E">
      <w:pPr>
        <w:pStyle w:val="FootnoteText"/>
        <w:rPr>
          <w:lang w:val="en-US"/>
        </w:rPr>
      </w:pPr>
      <w:r>
        <w:rPr>
          <w:rStyle w:val="FootnoteReference"/>
        </w:rPr>
        <w:footnoteRef/>
      </w:r>
      <w:r>
        <w:t xml:space="preserve"> It is recommended that criteria should be internally agreed in SEI to decide what is meant with “important”. Please take into account that there are several relevant factors involved, e.g. the ELV itself (the norm), the uncertainty in the measurement and the substance.</w:t>
      </w:r>
    </w:p>
  </w:footnote>
  <w:footnote w:id="7">
    <w:p w:rsidR="000E627E" w:rsidRPr="009B7FD7" w:rsidRDefault="000E627E" w:rsidP="000E627E">
      <w:pPr>
        <w:pStyle w:val="FootnoteText"/>
        <w:rPr>
          <w:lang w:val="es-ES"/>
        </w:rPr>
      </w:pPr>
      <w:r>
        <w:rPr>
          <w:rStyle w:val="FootnoteReference"/>
        </w:rPr>
        <w:footnoteRef/>
      </w:r>
      <w:r>
        <w:t xml:space="preserve"> See previous comment.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F10"/>
    <w:multiLevelType w:val="hybridMultilevel"/>
    <w:tmpl w:val="8EFE2EBC"/>
    <w:lvl w:ilvl="0" w:tplc="6CBCECE0">
      <w:start w:val="1"/>
      <w:numFmt w:val="bullet"/>
      <w:lvlText w:val=""/>
      <w:lvlJc w:val="left"/>
      <w:pPr>
        <w:tabs>
          <w:tab w:val="num" w:pos="720"/>
        </w:tabs>
        <w:ind w:left="720" w:hanging="360"/>
      </w:pPr>
      <w:rPr>
        <w:rFonts w:ascii="Symbol" w:hAnsi="Symbol" w:cs="Gill Sans MT" w:hint="default"/>
        <w:color w:val="auto"/>
      </w:rPr>
    </w:lvl>
    <w:lvl w:ilvl="1" w:tplc="0407000B">
      <w:start w:val="1"/>
      <w:numFmt w:val="bullet"/>
      <w:lvlText w:val=""/>
      <w:lvlJc w:val="left"/>
      <w:pPr>
        <w:tabs>
          <w:tab w:val="num" w:pos="1440"/>
        </w:tabs>
        <w:ind w:left="1440" w:hanging="360"/>
      </w:pPr>
      <w:rPr>
        <w:rFonts w:ascii="Wingdings" w:hAnsi="Wingdings" w:cs="Courier New"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Gill Sans MT"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Gill Sans MT"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 w15:restartNumberingAfterBreak="0">
    <w:nsid w:val="4EF55717"/>
    <w:multiLevelType w:val="hybridMultilevel"/>
    <w:tmpl w:val="D2A23F70"/>
    <w:lvl w:ilvl="0" w:tplc="04070001">
      <w:start w:val="1"/>
      <w:numFmt w:val="bullet"/>
      <w:lvlText w:val=""/>
      <w:lvlJc w:val="left"/>
      <w:pPr>
        <w:tabs>
          <w:tab w:val="num" w:pos="720"/>
        </w:tabs>
        <w:ind w:left="720" w:hanging="360"/>
      </w:pPr>
      <w:rPr>
        <w:rFonts w:ascii="Symbol" w:hAnsi="Symbol" w:cs="Gill Sans MT" w:hint="default"/>
      </w:rPr>
    </w:lvl>
    <w:lvl w:ilvl="1" w:tplc="0407000B">
      <w:start w:val="1"/>
      <w:numFmt w:val="bullet"/>
      <w:lvlText w:val=""/>
      <w:lvlJc w:val="left"/>
      <w:pPr>
        <w:tabs>
          <w:tab w:val="num" w:pos="1440"/>
        </w:tabs>
        <w:ind w:left="1440" w:hanging="360"/>
      </w:pPr>
      <w:rPr>
        <w:rFonts w:ascii="Wingdings" w:hAnsi="Wingdings" w:cs="Courier New"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Gill Sans MT"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Gill Sans MT"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2" w15:restartNumberingAfterBreak="0">
    <w:nsid w:val="5174190E"/>
    <w:multiLevelType w:val="hybridMultilevel"/>
    <w:tmpl w:val="BDC0E782"/>
    <w:lvl w:ilvl="0" w:tplc="0409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07"/>
    <w:rsid w:val="000B6CBB"/>
    <w:rsid w:val="000D3258"/>
    <w:rsid w:val="000E627E"/>
    <w:rsid w:val="001D7C07"/>
    <w:rsid w:val="00226D9E"/>
    <w:rsid w:val="007236B8"/>
    <w:rsid w:val="00771447"/>
    <w:rsid w:val="00E92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CA3BE-1A73-443F-A264-AD922C0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7E"/>
    <w:pPr>
      <w:spacing w:line="276" w:lineRule="auto"/>
      <w:jc w:val="both"/>
    </w:pPr>
    <w:rPr>
      <w:sz w:val="24"/>
      <w:szCs w:val="22"/>
      <w:lang w:val="en-GB" w:eastAsia="nl-NL"/>
    </w:rPr>
  </w:style>
  <w:style w:type="paragraph" w:styleId="Heading1">
    <w:name w:val="heading 1"/>
    <w:basedOn w:val="Normal"/>
    <w:next w:val="Normal"/>
    <w:link w:val="Heading1Char"/>
    <w:uiPriority w:val="9"/>
    <w:qFormat/>
    <w:rsid w:val="00E9254E"/>
    <w:pPr>
      <w:keepNext/>
      <w:spacing w:before="240" w:after="60"/>
      <w:outlineLvl w:val="0"/>
    </w:pPr>
    <w:rPr>
      <w:rFonts w:asciiTheme="minorHAnsi" w:eastAsia="Times New Roman" w:hAnsiTheme="minorHAnsi"/>
      <w:b/>
      <w:bCs/>
      <w:i/>
      <w:color w:val="1F4E79" w:themeColor="accent1" w:themeShade="80"/>
      <w:kern w:val="32"/>
      <w:sz w:val="40"/>
      <w:szCs w:val="32"/>
    </w:rPr>
  </w:style>
  <w:style w:type="paragraph" w:styleId="Heading2">
    <w:name w:val="heading 2"/>
    <w:basedOn w:val="Normal"/>
    <w:next w:val="Normal"/>
    <w:link w:val="Heading2Char"/>
    <w:uiPriority w:val="9"/>
    <w:qFormat/>
    <w:rsid w:val="00E9254E"/>
    <w:pPr>
      <w:keepNext/>
      <w:spacing w:before="240" w:after="60"/>
      <w:outlineLvl w:val="1"/>
    </w:pPr>
    <w:rPr>
      <w:rFonts w:asciiTheme="minorHAnsi" w:eastAsiaTheme="majorEastAsia" w:hAnsiTheme="minorHAnsi" w:cstheme="majorBidi"/>
      <w:b/>
      <w:bCs/>
      <w:i/>
      <w:iCs/>
      <w:color w:val="1F4E79" w:themeColor="accent1" w:themeShade="80"/>
      <w:sz w:val="32"/>
      <w:szCs w:val="28"/>
    </w:rPr>
  </w:style>
  <w:style w:type="paragraph" w:styleId="Heading3">
    <w:name w:val="heading 3"/>
    <w:basedOn w:val="Normal"/>
    <w:next w:val="Normal"/>
    <w:link w:val="Heading3Char"/>
    <w:qFormat/>
    <w:rsid w:val="00E9254E"/>
    <w:pPr>
      <w:keepNext/>
      <w:spacing w:before="240" w:after="6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unhideWhenUsed/>
    <w:qFormat/>
    <w:rsid w:val="00226D9E"/>
    <w:pPr>
      <w:keepNext/>
      <w:spacing w:before="240" w:after="60"/>
      <w:jc w:val="left"/>
      <w:outlineLvl w:val="3"/>
    </w:pPr>
    <w:rPr>
      <w:rFonts w:eastAsia="Times New Roman"/>
      <w:b/>
      <w:bCs/>
      <w:szCs w:val="28"/>
    </w:rPr>
  </w:style>
  <w:style w:type="paragraph" w:styleId="Heading5">
    <w:name w:val="heading 5"/>
    <w:basedOn w:val="Normal"/>
    <w:next w:val="Normal"/>
    <w:link w:val="Heading5Char"/>
    <w:uiPriority w:val="9"/>
    <w:unhideWhenUsed/>
    <w:qFormat/>
    <w:rsid w:val="007236B8"/>
    <w:pPr>
      <w:spacing w:before="240" w:after="60"/>
      <w:outlineLvl w:val="4"/>
    </w:pPr>
    <w:rPr>
      <w:rFonts w:asciiTheme="minorHAnsi" w:eastAsiaTheme="minorEastAsia" w:hAnsiTheme="minorHAnsi" w:cstheme="minorBidi"/>
      <w:b/>
      <w:bCs/>
      <w:iCs/>
      <w:color w:val="1F4E79"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54E"/>
    <w:rPr>
      <w:rFonts w:asciiTheme="minorHAnsi" w:eastAsia="Times New Roman" w:hAnsiTheme="minorHAnsi"/>
      <w:b/>
      <w:bCs/>
      <w:i/>
      <w:color w:val="1F4E79" w:themeColor="accent1" w:themeShade="80"/>
      <w:kern w:val="32"/>
      <w:sz w:val="40"/>
      <w:szCs w:val="32"/>
      <w:lang w:val="en-GB"/>
    </w:rPr>
  </w:style>
  <w:style w:type="character" w:customStyle="1" w:styleId="Heading2Char">
    <w:name w:val="Heading 2 Char"/>
    <w:basedOn w:val="DefaultParagraphFont"/>
    <w:link w:val="Heading2"/>
    <w:uiPriority w:val="9"/>
    <w:rsid w:val="00E9254E"/>
    <w:rPr>
      <w:rFonts w:asciiTheme="minorHAnsi" w:eastAsiaTheme="majorEastAsia" w:hAnsiTheme="minorHAnsi" w:cstheme="majorBidi"/>
      <w:b/>
      <w:bCs/>
      <w:i/>
      <w:iCs/>
      <w:color w:val="1F4E79" w:themeColor="accent1" w:themeShade="80"/>
      <w:sz w:val="32"/>
      <w:szCs w:val="28"/>
      <w:lang w:val="en-GB"/>
    </w:rPr>
  </w:style>
  <w:style w:type="character" w:customStyle="1" w:styleId="Heading3Char">
    <w:name w:val="Heading 3 Char"/>
    <w:basedOn w:val="DefaultParagraphFont"/>
    <w:link w:val="Heading3"/>
    <w:uiPriority w:val="9"/>
    <w:rsid w:val="00E9254E"/>
    <w:rPr>
      <w:rFonts w:asciiTheme="minorHAnsi" w:eastAsiaTheme="majorEastAsia" w:hAnsiTheme="minorHAnsi" w:cstheme="majorBidi"/>
      <w:b/>
      <w:bCs/>
      <w:sz w:val="28"/>
      <w:szCs w:val="26"/>
      <w:lang w:val="en-GB"/>
    </w:rPr>
  </w:style>
  <w:style w:type="paragraph" w:customStyle="1" w:styleId="TEXTEINFO">
    <w:name w:val="TEXTE INFO."/>
    <w:basedOn w:val="Normal"/>
    <w:rsid w:val="00E9254E"/>
    <w:pPr>
      <w:spacing w:after="80" w:line="240" w:lineRule="auto"/>
    </w:pPr>
    <w:rPr>
      <w:rFonts w:ascii="Helvetica" w:eastAsia="Times New Roman" w:hAnsi="Helvetica"/>
      <w:color w:val="000080"/>
      <w:sz w:val="18"/>
      <w:szCs w:val="24"/>
      <w:lang w:val="en-US" w:eastAsia="fr-FR"/>
    </w:rPr>
  </w:style>
  <w:style w:type="paragraph" w:customStyle="1" w:styleId="Default">
    <w:name w:val="Default"/>
    <w:rsid w:val="00E9254E"/>
    <w:rPr>
      <w:rFonts w:ascii="Times New Roman" w:eastAsia="Times New Roman" w:hAnsi="Times New Roman"/>
      <w:snapToGrid w:val="0"/>
      <w:color w:val="000000"/>
      <w:sz w:val="24"/>
      <w:lang w:val="en-GB"/>
    </w:rPr>
  </w:style>
  <w:style w:type="paragraph" w:styleId="TOC1">
    <w:name w:val="toc 1"/>
    <w:basedOn w:val="Normal"/>
    <w:next w:val="Normal"/>
    <w:uiPriority w:val="39"/>
    <w:rsid w:val="007236B8"/>
    <w:pPr>
      <w:widowControl w:val="0"/>
      <w:tabs>
        <w:tab w:val="left" w:pos="709"/>
      </w:tabs>
      <w:spacing w:before="200" w:after="120" w:line="240" w:lineRule="auto"/>
      <w:ind w:left="425" w:hanging="425"/>
    </w:pPr>
    <w:rPr>
      <w:rFonts w:eastAsia="Times New Roman"/>
      <w:b/>
      <w:szCs w:val="20"/>
      <w:lang w:eastAsia="en-GB"/>
    </w:rPr>
  </w:style>
  <w:style w:type="paragraph" w:styleId="FootnoteText">
    <w:name w:val="footnote text"/>
    <w:basedOn w:val="Normal"/>
    <w:link w:val="FootnoteTextChar"/>
    <w:uiPriority w:val="99"/>
    <w:semiHidden/>
    <w:rsid w:val="00E9254E"/>
    <w:pPr>
      <w:spacing w:line="240" w:lineRule="auto"/>
    </w:pPr>
    <w:rPr>
      <w:rFonts w:ascii="Arial" w:eastAsia="Times New Roman" w:hAnsi="Arial" w:cs="Arial"/>
      <w:sz w:val="20"/>
      <w:szCs w:val="20"/>
      <w:lang w:eastAsia="fi-FI"/>
    </w:rPr>
  </w:style>
  <w:style w:type="character" w:customStyle="1" w:styleId="FootnoteTextChar">
    <w:name w:val="Footnote Text Char"/>
    <w:basedOn w:val="DefaultParagraphFont"/>
    <w:link w:val="FootnoteText"/>
    <w:uiPriority w:val="99"/>
    <w:semiHidden/>
    <w:rsid w:val="00E9254E"/>
    <w:rPr>
      <w:rFonts w:ascii="Arial" w:eastAsia="Times New Roman" w:hAnsi="Arial" w:cs="Arial"/>
      <w:sz w:val="20"/>
      <w:szCs w:val="20"/>
      <w:lang w:val="en-GB" w:eastAsia="fi-FI"/>
    </w:rPr>
  </w:style>
  <w:style w:type="paragraph" w:styleId="Header">
    <w:name w:val="header"/>
    <w:basedOn w:val="Normal"/>
    <w:link w:val="HeaderChar"/>
    <w:unhideWhenUsed/>
    <w:rsid w:val="00E9254E"/>
    <w:pPr>
      <w:tabs>
        <w:tab w:val="center" w:pos="4536"/>
        <w:tab w:val="right" w:pos="9072"/>
      </w:tabs>
    </w:pPr>
  </w:style>
  <w:style w:type="character" w:customStyle="1" w:styleId="HeaderChar">
    <w:name w:val="Header Char"/>
    <w:link w:val="Header"/>
    <w:rsid w:val="00E9254E"/>
    <w:rPr>
      <w:rFonts w:ascii="Calibri" w:eastAsia="Calibri" w:hAnsi="Calibri" w:cs="Times New Roman"/>
      <w:lang w:val="en-GB"/>
    </w:rPr>
  </w:style>
  <w:style w:type="paragraph" w:styleId="Footer">
    <w:name w:val="footer"/>
    <w:basedOn w:val="Normal"/>
    <w:link w:val="FooterChar"/>
    <w:uiPriority w:val="99"/>
    <w:unhideWhenUsed/>
    <w:rsid w:val="00E9254E"/>
    <w:pPr>
      <w:tabs>
        <w:tab w:val="center" w:pos="4536"/>
        <w:tab w:val="right" w:pos="9072"/>
      </w:tabs>
    </w:pPr>
  </w:style>
  <w:style w:type="character" w:customStyle="1" w:styleId="FooterChar">
    <w:name w:val="Footer Char"/>
    <w:link w:val="Footer"/>
    <w:uiPriority w:val="99"/>
    <w:rsid w:val="00E9254E"/>
    <w:rPr>
      <w:rFonts w:ascii="Calibri" w:eastAsia="Calibri" w:hAnsi="Calibri" w:cs="Times New Roman"/>
      <w:lang w:val="en-GB"/>
    </w:rPr>
  </w:style>
  <w:style w:type="character" w:styleId="FootnoteReference">
    <w:name w:val="footnote reference"/>
    <w:basedOn w:val="DefaultParagraphFont"/>
    <w:uiPriority w:val="99"/>
    <w:semiHidden/>
    <w:rsid w:val="00E9254E"/>
    <w:rPr>
      <w:vertAlign w:val="superscript"/>
    </w:rPr>
  </w:style>
  <w:style w:type="paragraph" w:styleId="BodyText">
    <w:name w:val="Body Text"/>
    <w:basedOn w:val="Normal"/>
    <w:link w:val="BodyTextChar"/>
    <w:rsid w:val="00E9254E"/>
    <w:pPr>
      <w:widowControl w:val="0"/>
      <w:spacing w:line="240" w:lineRule="auto"/>
    </w:pPr>
    <w:rPr>
      <w:rFonts w:ascii="Times New Roman" w:eastAsia="Times New Roman" w:hAnsi="Times New Roman"/>
      <w:b/>
      <w:i/>
      <w:szCs w:val="20"/>
      <w:u w:val="single"/>
      <w:lang w:eastAsia="en-GB"/>
    </w:rPr>
  </w:style>
  <w:style w:type="character" w:customStyle="1" w:styleId="BodyTextChar">
    <w:name w:val="Body Text Char"/>
    <w:basedOn w:val="DefaultParagraphFont"/>
    <w:link w:val="BodyText"/>
    <w:rsid w:val="00E9254E"/>
    <w:rPr>
      <w:rFonts w:ascii="Times New Roman" w:eastAsia="Times New Roman" w:hAnsi="Times New Roman" w:cs="Times New Roman"/>
      <w:b/>
      <w:i/>
      <w:sz w:val="24"/>
      <w:szCs w:val="20"/>
      <w:u w:val="single"/>
      <w:lang w:val="en-GB" w:eastAsia="en-GB"/>
    </w:rPr>
  </w:style>
  <w:style w:type="paragraph" w:styleId="BodyText2">
    <w:name w:val="Body Text 2"/>
    <w:basedOn w:val="Normal"/>
    <w:link w:val="BodyText2Char"/>
    <w:rsid w:val="00E9254E"/>
    <w:pPr>
      <w:widowControl w:val="0"/>
      <w:spacing w:line="240" w:lineRule="auto"/>
      <w:ind w:left="720"/>
    </w:pPr>
    <w:rPr>
      <w:rFonts w:ascii="Times New Roman" w:eastAsia="Times New Roman" w:hAnsi="Times New Roman"/>
      <w:i/>
      <w:szCs w:val="20"/>
      <w:lang w:eastAsia="en-GB"/>
    </w:rPr>
  </w:style>
  <w:style w:type="character" w:customStyle="1" w:styleId="BodyText2Char">
    <w:name w:val="Body Text 2 Char"/>
    <w:basedOn w:val="DefaultParagraphFont"/>
    <w:link w:val="BodyText2"/>
    <w:rsid w:val="00E9254E"/>
    <w:rPr>
      <w:rFonts w:ascii="Times New Roman" w:eastAsia="Times New Roman" w:hAnsi="Times New Roman" w:cs="Times New Roman"/>
      <w:i/>
      <w:sz w:val="24"/>
      <w:szCs w:val="20"/>
      <w:lang w:val="en-GB" w:eastAsia="en-GB"/>
    </w:rPr>
  </w:style>
  <w:style w:type="paragraph" w:styleId="BodyTextIndent2">
    <w:name w:val="Body Text Indent 2"/>
    <w:basedOn w:val="Normal"/>
    <w:link w:val="BodyTextIndent2Char"/>
    <w:rsid w:val="00E9254E"/>
    <w:pPr>
      <w:widowControl w:val="0"/>
      <w:spacing w:line="240" w:lineRule="auto"/>
      <w:ind w:left="1134" w:hanging="414"/>
    </w:pPr>
    <w:rPr>
      <w:rFonts w:ascii="Arial" w:eastAsia="Times New Roman" w:hAnsi="Arial"/>
      <w:szCs w:val="20"/>
      <w:lang w:eastAsia="en-GB"/>
    </w:rPr>
  </w:style>
  <w:style w:type="character" w:customStyle="1" w:styleId="BodyTextIndent2Char">
    <w:name w:val="Body Text Indent 2 Char"/>
    <w:basedOn w:val="DefaultParagraphFont"/>
    <w:link w:val="BodyTextIndent2"/>
    <w:rsid w:val="00E9254E"/>
    <w:rPr>
      <w:rFonts w:ascii="Arial" w:eastAsia="Times New Roman" w:hAnsi="Arial" w:cs="Times New Roman"/>
      <w:sz w:val="24"/>
      <w:szCs w:val="20"/>
      <w:lang w:val="en-GB" w:eastAsia="en-GB"/>
    </w:rPr>
  </w:style>
  <w:style w:type="character" w:styleId="Hyperlink">
    <w:name w:val="Hyperlink"/>
    <w:rsid w:val="00E9254E"/>
    <w:rPr>
      <w:color w:val="0000FF"/>
      <w:u w:val="single"/>
    </w:rPr>
  </w:style>
  <w:style w:type="paragraph" w:styleId="DocumentMap">
    <w:name w:val="Document Map"/>
    <w:basedOn w:val="Normal"/>
    <w:link w:val="DocumentMapChar"/>
    <w:semiHidden/>
    <w:rsid w:val="00E92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254E"/>
    <w:rPr>
      <w:rFonts w:ascii="Tahoma" w:eastAsia="Calibri"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E925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254E"/>
    <w:rPr>
      <w:rFonts w:ascii="Tahoma" w:eastAsia="Calibri" w:hAnsi="Tahoma" w:cs="Tahoma"/>
      <w:sz w:val="16"/>
      <w:szCs w:val="16"/>
      <w:lang w:val="en-GB"/>
    </w:rPr>
  </w:style>
  <w:style w:type="paragraph" w:styleId="NoSpacing">
    <w:name w:val="No Spacing"/>
    <w:uiPriority w:val="1"/>
    <w:qFormat/>
    <w:rsid w:val="00E9254E"/>
    <w:rPr>
      <w:lang w:val="en-GB"/>
    </w:rPr>
  </w:style>
  <w:style w:type="character" w:customStyle="1" w:styleId="Heading4Char">
    <w:name w:val="Heading 4 Char"/>
    <w:link w:val="Heading4"/>
    <w:uiPriority w:val="9"/>
    <w:rsid w:val="00226D9E"/>
    <w:rPr>
      <w:rFonts w:eastAsia="Times New Roman"/>
      <w:b/>
      <w:bCs/>
      <w:sz w:val="24"/>
      <w:szCs w:val="28"/>
      <w:lang w:val="en-GB"/>
    </w:rPr>
  </w:style>
  <w:style w:type="character" w:customStyle="1" w:styleId="Heading5Char">
    <w:name w:val="Heading 5 Char"/>
    <w:basedOn w:val="DefaultParagraphFont"/>
    <w:link w:val="Heading5"/>
    <w:uiPriority w:val="9"/>
    <w:rsid w:val="007236B8"/>
    <w:rPr>
      <w:rFonts w:asciiTheme="minorHAnsi" w:eastAsiaTheme="minorEastAsia" w:hAnsiTheme="minorHAnsi" w:cstheme="minorBidi"/>
      <w:b/>
      <w:bCs/>
      <w:iCs/>
      <w:color w:val="1F4E79" w:themeColor="accent1" w:themeShade="80"/>
      <w:sz w:val="24"/>
      <w:szCs w:val="26"/>
      <w:lang w:val="en-GB"/>
    </w:rPr>
  </w:style>
  <w:style w:type="paragraph" w:styleId="TOC3">
    <w:name w:val="toc 3"/>
    <w:basedOn w:val="Normal"/>
    <w:next w:val="Normal"/>
    <w:autoRedefine/>
    <w:uiPriority w:val="39"/>
    <w:unhideWhenUsed/>
    <w:rsid w:val="007236B8"/>
    <w:pPr>
      <w:spacing w:after="60"/>
      <w:ind w:left="442"/>
    </w:pPr>
  </w:style>
  <w:style w:type="paragraph" w:styleId="TOC2">
    <w:name w:val="toc 2"/>
    <w:basedOn w:val="Normal"/>
    <w:next w:val="Normal"/>
    <w:autoRedefine/>
    <w:uiPriority w:val="39"/>
    <w:unhideWhenUsed/>
    <w:rsid w:val="007236B8"/>
    <w:pPr>
      <w:spacing w:after="60"/>
      <w:ind w:left="221"/>
    </w:pPr>
  </w:style>
  <w:style w:type="paragraph" w:styleId="TOC4">
    <w:name w:val="toc 4"/>
    <w:basedOn w:val="Normal"/>
    <w:next w:val="Normal"/>
    <w:autoRedefine/>
    <w:uiPriority w:val="39"/>
    <w:unhideWhenUsed/>
    <w:rsid w:val="007236B8"/>
    <w:pPr>
      <w:spacing w:after="60"/>
      <w:ind w:left="658"/>
    </w:pPr>
  </w:style>
  <w:style w:type="paragraph" w:styleId="ListParagraph">
    <w:name w:val="List Paragraph"/>
    <w:basedOn w:val="Normal"/>
    <w:link w:val="ListParagraphChar"/>
    <w:uiPriority w:val="34"/>
    <w:qFormat/>
    <w:rsid w:val="000E627E"/>
    <w:pPr>
      <w:spacing w:after="160" w:line="259" w:lineRule="auto"/>
      <w:ind w:left="720"/>
      <w:contextualSpacing/>
      <w:jc w:val="left"/>
    </w:pPr>
    <w:rPr>
      <w:lang w:val="es-ES"/>
    </w:rPr>
  </w:style>
  <w:style w:type="paragraph" w:styleId="NormalWeb">
    <w:name w:val="Normal (Web)"/>
    <w:basedOn w:val="Normal"/>
    <w:uiPriority w:val="99"/>
    <w:unhideWhenUsed/>
    <w:rsid w:val="000E627E"/>
    <w:pPr>
      <w:spacing w:before="100" w:beforeAutospacing="1" w:after="100" w:afterAutospacing="1" w:line="240" w:lineRule="auto"/>
      <w:jc w:val="left"/>
    </w:pPr>
    <w:rPr>
      <w:rFonts w:ascii="Times New Roman" w:eastAsia="Times New Roman" w:hAnsi="Times New Roman"/>
      <w:szCs w:val="24"/>
      <w:lang w:val="nl-NL"/>
    </w:rPr>
  </w:style>
  <w:style w:type="character" w:customStyle="1" w:styleId="ListParagraphChar">
    <w:name w:val="List Paragraph Char"/>
    <w:link w:val="ListParagraph"/>
    <w:uiPriority w:val="34"/>
    <w:rsid w:val="000E627E"/>
    <w:rPr>
      <w:sz w:val="24"/>
      <w:szCs w:val="22"/>
      <w:lang w:eastAsia="nl-NL"/>
    </w:rPr>
  </w:style>
  <w:style w:type="paragraph" w:customStyle="1" w:styleId="Odstavecseseznamem1">
    <w:name w:val="Odstavec se seznamem1"/>
    <w:basedOn w:val="Normal"/>
    <w:uiPriority w:val="99"/>
    <w:rsid w:val="000E627E"/>
    <w:pPr>
      <w:widowControl w:val="0"/>
      <w:spacing w:line="240" w:lineRule="auto"/>
      <w:ind w:left="720"/>
      <w:jc w:val="left"/>
    </w:pPr>
    <w:rPr>
      <w:rFonts w:ascii="Arial" w:eastAsia="Times New Roman" w:hAnsi="Arial" w:cs="Arial"/>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5475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Seoanez</dc:creator>
  <cp:keywords/>
  <dc:description/>
  <cp:lastModifiedBy>Cesar Seoanez</cp:lastModifiedBy>
  <cp:revision>2</cp:revision>
  <dcterms:created xsi:type="dcterms:W3CDTF">2016-06-01T19:02:00Z</dcterms:created>
  <dcterms:modified xsi:type="dcterms:W3CDTF">2016-06-01T19:07:00Z</dcterms:modified>
</cp:coreProperties>
</file>